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14C159" w14:textId="77777777" w:rsidR="006C2D77" w:rsidRPr="00A025E5" w:rsidRDefault="00281E15">
      <w:pPr>
        <w:pStyle w:val="BodyText"/>
        <w:ind w:left="132" w:right="-15"/>
        <w:jc w:val="left"/>
        <w:rPr>
          <w:rFonts w:ascii="Book Antiqua" w:hAnsi="Book Antiqua"/>
          <w:sz w:val="20"/>
        </w:rPr>
      </w:pPr>
      <w:r w:rsidRPr="00A025E5">
        <w:rPr>
          <w:rFonts w:ascii="Book Antiqua" w:hAnsi="Book Antiqua"/>
          <w:noProof/>
          <w:sz w:val="20"/>
        </w:rPr>
        <w:drawing>
          <wp:inline distT="0" distB="0" distL="0" distR="0" wp14:anchorId="204E0D8F" wp14:editId="7D40DE70">
            <wp:extent cx="5374638" cy="493774"/>
            <wp:effectExtent l="0" t="0" r="0" b="1905"/>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74638" cy="493774"/>
                    </a:xfrm>
                    <a:prstGeom prst="rect">
                      <a:avLst/>
                    </a:prstGeom>
                  </pic:spPr>
                </pic:pic>
              </a:graphicData>
            </a:graphic>
          </wp:inline>
        </w:drawing>
      </w:r>
    </w:p>
    <w:p w14:paraId="084A1BF2" w14:textId="6ABD6806" w:rsidR="006C2D77" w:rsidRPr="00A025E5" w:rsidRDefault="00281E15">
      <w:pPr>
        <w:spacing w:before="82" w:line="182" w:lineRule="exact"/>
        <w:ind w:left="321" w:right="458"/>
        <w:jc w:val="center"/>
        <w:rPr>
          <w:rFonts w:ascii="Book Antiqua" w:hAnsi="Book Antiqua"/>
          <w:b/>
          <w:sz w:val="16"/>
        </w:rPr>
      </w:pPr>
      <w:r w:rsidRPr="00A025E5">
        <w:rPr>
          <w:rFonts w:ascii="Book Antiqua" w:hAnsi="Book Antiqua"/>
          <w:b/>
          <w:spacing w:val="-2"/>
          <w:sz w:val="16"/>
        </w:rPr>
        <w:t>Proceedings</w:t>
      </w:r>
      <w:r w:rsidRPr="00A025E5">
        <w:rPr>
          <w:rFonts w:ascii="Book Antiqua" w:hAnsi="Book Antiqua"/>
          <w:b/>
          <w:spacing w:val="2"/>
          <w:sz w:val="16"/>
        </w:rPr>
        <w:t xml:space="preserve"> </w:t>
      </w:r>
      <w:r w:rsidR="00A025E5">
        <w:rPr>
          <w:rFonts w:ascii="Book Antiqua" w:hAnsi="Book Antiqua"/>
          <w:b/>
          <w:spacing w:val="-2"/>
          <w:sz w:val="16"/>
        </w:rPr>
        <w:t>2</w:t>
      </w:r>
      <w:r w:rsidR="00A025E5">
        <w:rPr>
          <w:rFonts w:ascii="Book Antiqua" w:hAnsi="Book Antiqua"/>
          <w:b/>
          <w:spacing w:val="-2"/>
          <w:position w:val="4"/>
          <w:sz w:val="10"/>
        </w:rPr>
        <w:t>nd</w:t>
      </w:r>
      <w:r w:rsidRPr="00A025E5">
        <w:rPr>
          <w:rFonts w:ascii="Book Antiqua" w:hAnsi="Book Antiqua"/>
          <w:b/>
          <w:spacing w:val="18"/>
          <w:position w:val="4"/>
          <w:sz w:val="10"/>
        </w:rPr>
        <w:t xml:space="preserve"> </w:t>
      </w:r>
      <w:r w:rsidRPr="00A025E5">
        <w:rPr>
          <w:rFonts w:ascii="Book Antiqua" w:hAnsi="Book Antiqua"/>
          <w:b/>
          <w:spacing w:val="-2"/>
          <w:sz w:val="16"/>
        </w:rPr>
        <w:t>Annual</w:t>
      </w:r>
      <w:r w:rsidRPr="00A025E5">
        <w:rPr>
          <w:rFonts w:ascii="Book Antiqua" w:hAnsi="Book Antiqua"/>
          <w:b/>
          <w:spacing w:val="1"/>
          <w:sz w:val="16"/>
        </w:rPr>
        <w:t xml:space="preserve"> </w:t>
      </w:r>
      <w:r w:rsidRPr="00A025E5">
        <w:rPr>
          <w:rFonts w:ascii="Book Antiqua" w:hAnsi="Book Antiqua"/>
          <w:b/>
          <w:spacing w:val="-2"/>
          <w:sz w:val="16"/>
        </w:rPr>
        <w:t>Conference</w:t>
      </w:r>
      <w:r w:rsidRPr="00A025E5">
        <w:rPr>
          <w:rFonts w:ascii="Book Antiqua" w:hAnsi="Book Antiqua"/>
          <w:b/>
          <w:spacing w:val="1"/>
          <w:sz w:val="16"/>
        </w:rPr>
        <w:t xml:space="preserve"> </w:t>
      </w:r>
      <w:r w:rsidRPr="00A025E5">
        <w:rPr>
          <w:rFonts w:ascii="Book Antiqua" w:hAnsi="Book Antiqua"/>
          <w:b/>
          <w:spacing w:val="-2"/>
          <w:sz w:val="16"/>
        </w:rPr>
        <w:t>on</w:t>
      </w:r>
      <w:r w:rsidRPr="00A025E5">
        <w:rPr>
          <w:rFonts w:ascii="Book Antiqua" w:hAnsi="Book Antiqua"/>
          <w:b/>
          <w:spacing w:val="2"/>
          <w:sz w:val="16"/>
        </w:rPr>
        <w:t xml:space="preserve"> </w:t>
      </w:r>
      <w:r w:rsidRPr="00A025E5">
        <w:rPr>
          <w:rFonts w:ascii="Book Antiqua" w:hAnsi="Book Antiqua"/>
          <w:b/>
          <w:spacing w:val="-2"/>
          <w:sz w:val="16"/>
        </w:rPr>
        <w:t>Moderate</w:t>
      </w:r>
      <w:r w:rsidRPr="00A025E5">
        <w:rPr>
          <w:rFonts w:ascii="Book Antiqua" w:hAnsi="Book Antiqua"/>
          <w:b/>
          <w:sz w:val="16"/>
        </w:rPr>
        <w:t xml:space="preserve"> </w:t>
      </w:r>
      <w:r w:rsidRPr="00A025E5">
        <w:rPr>
          <w:rFonts w:ascii="Book Antiqua" w:hAnsi="Book Antiqua"/>
          <w:b/>
          <w:spacing w:val="-2"/>
          <w:sz w:val="16"/>
        </w:rPr>
        <w:t>Islamic</w:t>
      </w:r>
      <w:r w:rsidRPr="00A025E5">
        <w:rPr>
          <w:rFonts w:ascii="Book Antiqua" w:hAnsi="Book Antiqua"/>
          <w:b/>
          <w:spacing w:val="3"/>
          <w:sz w:val="16"/>
        </w:rPr>
        <w:t xml:space="preserve"> </w:t>
      </w:r>
      <w:r w:rsidRPr="00A025E5">
        <w:rPr>
          <w:rFonts w:ascii="Book Antiqua" w:hAnsi="Book Antiqua"/>
          <w:b/>
          <w:spacing w:val="-2"/>
          <w:sz w:val="16"/>
        </w:rPr>
        <w:t>Studies</w:t>
      </w:r>
    </w:p>
    <w:p w14:paraId="1E1ED7A0" w14:textId="38E25183" w:rsidR="006C2D77" w:rsidRPr="00A025E5" w:rsidRDefault="00281E15">
      <w:pPr>
        <w:spacing w:line="182" w:lineRule="exact"/>
        <w:ind w:left="326" w:right="458"/>
        <w:jc w:val="center"/>
        <w:rPr>
          <w:rFonts w:ascii="Book Antiqua" w:hAnsi="Book Antiqua"/>
          <w:sz w:val="16"/>
        </w:rPr>
      </w:pPr>
      <w:r w:rsidRPr="00A025E5">
        <w:rPr>
          <w:rFonts w:ascii="Book Antiqua" w:hAnsi="Book Antiqua"/>
          <w:spacing w:val="-2"/>
          <w:sz w:val="16"/>
        </w:rPr>
        <w:t>Vol.</w:t>
      </w:r>
      <w:r w:rsidRPr="00A025E5">
        <w:rPr>
          <w:rFonts w:ascii="Book Antiqua" w:hAnsi="Book Antiqua"/>
          <w:spacing w:val="-5"/>
          <w:sz w:val="16"/>
        </w:rPr>
        <w:t xml:space="preserve"> </w:t>
      </w:r>
      <w:r w:rsidRPr="00A025E5">
        <w:rPr>
          <w:rFonts w:ascii="Book Antiqua" w:hAnsi="Book Antiqua"/>
          <w:spacing w:val="-2"/>
          <w:sz w:val="16"/>
        </w:rPr>
        <w:t>0</w:t>
      </w:r>
      <w:r w:rsidR="00CC5F25">
        <w:rPr>
          <w:rFonts w:ascii="Book Antiqua" w:hAnsi="Book Antiqua"/>
          <w:spacing w:val="-2"/>
          <w:sz w:val="16"/>
        </w:rPr>
        <w:t>2</w:t>
      </w:r>
      <w:r w:rsidRPr="00A025E5">
        <w:rPr>
          <w:rFonts w:ascii="Book Antiqua" w:hAnsi="Book Antiqua"/>
          <w:spacing w:val="-5"/>
          <w:sz w:val="16"/>
        </w:rPr>
        <w:t xml:space="preserve"> </w:t>
      </w:r>
      <w:r w:rsidRPr="00A025E5">
        <w:rPr>
          <w:rFonts w:ascii="Book Antiqua" w:hAnsi="Book Antiqua"/>
          <w:spacing w:val="-2"/>
          <w:sz w:val="16"/>
        </w:rPr>
        <w:t>No.</w:t>
      </w:r>
      <w:r w:rsidRPr="00A025E5">
        <w:rPr>
          <w:rFonts w:ascii="Book Antiqua" w:hAnsi="Book Antiqua"/>
          <w:spacing w:val="-5"/>
          <w:sz w:val="16"/>
        </w:rPr>
        <w:t xml:space="preserve"> </w:t>
      </w:r>
      <w:r w:rsidRPr="00A025E5">
        <w:rPr>
          <w:rFonts w:ascii="Book Antiqua" w:hAnsi="Book Antiqua"/>
          <w:spacing w:val="-2"/>
          <w:sz w:val="16"/>
        </w:rPr>
        <w:t>0</w:t>
      </w:r>
      <w:r w:rsidR="00CC5F25">
        <w:rPr>
          <w:rFonts w:ascii="Book Antiqua" w:hAnsi="Book Antiqua"/>
          <w:spacing w:val="-2"/>
          <w:sz w:val="16"/>
        </w:rPr>
        <w:t>1</w:t>
      </w:r>
      <w:r w:rsidRPr="00A025E5">
        <w:rPr>
          <w:rFonts w:ascii="Book Antiqua" w:hAnsi="Book Antiqua"/>
          <w:spacing w:val="-4"/>
          <w:sz w:val="16"/>
        </w:rPr>
        <w:t xml:space="preserve"> </w:t>
      </w:r>
      <w:r w:rsidRPr="00A025E5">
        <w:rPr>
          <w:rFonts w:ascii="Book Antiqua" w:hAnsi="Book Antiqua"/>
          <w:spacing w:val="-2"/>
          <w:sz w:val="16"/>
        </w:rPr>
        <w:t>(202</w:t>
      </w:r>
      <w:r w:rsidR="00A025E5">
        <w:rPr>
          <w:rFonts w:ascii="Book Antiqua" w:hAnsi="Book Antiqua"/>
          <w:spacing w:val="-2"/>
          <w:sz w:val="16"/>
        </w:rPr>
        <w:t>6</w:t>
      </w:r>
      <w:r w:rsidRPr="00A025E5">
        <w:rPr>
          <w:rFonts w:ascii="Book Antiqua" w:hAnsi="Book Antiqua"/>
          <w:spacing w:val="-2"/>
          <w:sz w:val="16"/>
        </w:rPr>
        <w:t>)</w:t>
      </w:r>
    </w:p>
    <w:p w14:paraId="2042DE42" w14:textId="77777777" w:rsidR="006C2D77" w:rsidRPr="00A025E5" w:rsidRDefault="00281E15">
      <w:pPr>
        <w:spacing w:before="10"/>
        <w:ind w:left="319" w:right="458"/>
        <w:jc w:val="center"/>
        <w:rPr>
          <w:rFonts w:ascii="Book Antiqua" w:hAnsi="Book Antiqua"/>
          <w:sz w:val="16"/>
        </w:rPr>
      </w:pPr>
      <w:r w:rsidRPr="00A025E5">
        <w:rPr>
          <w:rFonts w:ascii="Book Antiqua" w:hAnsi="Book Antiqua"/>
          <w:sz w:val="16"/>
        </w:rPr>
        <w:t>Available</w:t>
      </w:r>
      <w:r w:rsidRPr="00A025E5">
        <w:rPr>
          <w:rFonts w:ascii="Book Antiqua" w:hAnsi="Book Antiqua"/>
          <w:spacing w:val="15"/>
          <w:sz w:val="16"/>
        </w:rPr>
        <w:t xml:space="preserve"> </w:t>
      </w:r>
      <w:r w:rsidRPr="00A025E5">
        <w:rPr>
          <w:rFonts w:ascii="Book Antiqua" w:hAnsi="Book Antiqua"/>
          <w:sz w:val="16"/>
        </w:rPr>
        <w:t>online</w:t>
      </w:r>
      <w:r w:rsidRPr="00A025E5">
        <w:rPr>
          <w:rFonts w:ascii="Book Antiqua" w:hAnsi="Book Antiqua"/>
          <w:spacing w:val="16"/>
          <w:sz w:val="16"/>
        </w:rPr>
        <w:t xml:space="preserve"> </w:t>
      </w:r>
      <w:r w:rsidRPr="00A025E5">
        <w:rPr>
          <w:rFonts w:ascii="Book Antiqua" w:hAnsi="Book Antiqua"/>
          <w:sz w:val="16"/>
        </w:rPr>
        <w:t>at</w:t>
      </w:r>
      <w:r w:rsidRPr="00A025E5">
        <w:rPr>
          <w:rFonts w:ascii="Book Antiqua" w:hAnsi="Book Antiqua"/>
          <w:spacing w:val="69"/>
          <w:sz w:val="16"/>
        </w:rPr>
        <w:t xml:space="preserve"> </w:t>
      </w:r>
      <w:r w:rsidRPr="00A025E5">
        <w:rPr>
          <w:rFonts w:ascii="Book Antiqua" w:hAnsi="Book Antiqua"/>
          <w:color w:val="0000FF"/>
          <w:spacing w:val="-2"/>
          <w:sz w:val="16"/>
          <w:u w:val="single" w:color="0000FF"/>
        </w:rPr>
        <w:t>https://ancomis.unikhams.ac.id/index.php/files/index</w:t>
      </w:r>
    </w:p>
    <w:p w14:paraId="4055483E" w14:textId="77777777" w:rsidR="006C2D77" w:rsidRPr="00A025E5" w:rsidRDefault="006C2D77">
      <w:pPr>
        <w:pStyle w:val="BodyText"/>
        <w:spacing w:before="50"/>
        <w:ind w:left="0"/>
        <w:jc w:val="left"/>
        <w:rPr>
          <w:rFonts w:ascii="Book Antiqua" w:hAnsi="Book Antiqua"/>
          <w:sz w:val="28"/>
        </w:rPr>
      </w:pPr>
    </w:p>
    <w:p w14:paraId="5B9E6A16" w14:textId="5CAEAA17" w:rsidR="00404778" w:rsidRDefault="00E81412" w:rsidP="00CC5F25">
      <w:pPr>
        <w:jc w:val="center"/>
        <w:rPr>
          <w:rFonts w:ascii="Book Antiqua" w:eastAsia="Times New Roman" w:hAnsi="Book Antiqua" w:cs="Times New Roman"/>
          <w:b/>
          <w:sz w:val="28"/>
          <w:szCs w:val="28"/>
        </w:rPr>
      </w:pPr>
      <w:proofErr w:type="gramStart"/>
      <w:r w:rsidRPr="00E81412">
        <w:rPr>
          <w:rFonts w:ascii="Book Antiqua" w:eastAsia="Times New Roman" w:hAnsi="Book Antiqua"/>
          <w:b/>
          <w:sz w:val="28"/>
          <w:szCs w:val="28"/>
        </w:rPr>
        <w:t>KONSEP ANTI-EKSTREMISME DALAM QS.</w:t>
      </w:r>
      <w:proofErr w:type="gramEnd"/>
      <w:r w:rsidRPr="00E81412">
        <w:rPr>
          <w:rFonts w:ascii="Book Antiqua" w:eastAsia="Times New Roman" w:hAnsi="Book Antiqua"/>
          <w:b/>
          <w:sz w:val="28"/>
          <w:szCs w:val="28"/>
        </w:rPr>
        <w:t xml:space="preserve"> AN-NISA' [4]: 171</w:t>
      </w:r>
      <w:r w:rsidR="0094709E">
        <w:rPr>
          <w:rFonts w:ascii="Book Antiqua" w:eastAsia="Times New Roman" w:hAnsi="Book Antiqua"/>
          <w:b/>
          <w:sz w:val="28"/>
          <w:szCs w:val="28"/>
        </w:rPr>
        <w:t xml:space="preserve"> </w:t>
      </w:r>
      <w:r w:rsidRPr="00E81412">
        <w:rPr>
          <w:rFonts w:ascii="Book Antiqua" w:eastAsia="Times New Roman" w:hAnsi="Book Antiqua"/>
          <w:b/>
          <w:sz w:val="28"/>
          <w:szCs w:val="28"/>
        </w:rPr>
        <w:t xml:space="preserve">TERHADAP LARANGAN GHULUW DALAM BERAGAMA </w:t>
      </w:r>
      <w:r w:rsidR="0094709E">
        <w:rPr>
          <w:rFonts w:ascii="Book Antiqua" w:eastAsia="Times New Roman" w:hAnsi="Book Antiqua" w:cs="Times New Roman"/>
          <w:b/>
          <w:sz w:val="28"/>
          <w:szCs w:val="28"/>
          <w:lang w:val="id-ID"/>
        </w:rPr>
        <w:t>MENURUT TAFSIR TARBAWI</w:t>
      </w:r>
    </w:p>
    <w:p w14:paraId="7FD13F9D" w14:textId="77777777" w:rsidR="00CC5F25" w:rsidRPr="00CC5F25" w:rsidRDefault="00CC5F25" w:rsidP="00CC5F25">
      <w:pPr>
        <w:jc w:val="center"/>
        <w:rPr>
          <w:rFonts w:ascii="Book Antiqua" w:eastAsia="Times New Roman" w:hAnsi="Book Antiqua" w:cs="Times New Roman"/>
          <w:b/>
          <w:sz w:val="28"/>
          <w:szCs w:val="28"/>
        </w:rPr>
      </w:pPr>
    </w:p>
    <w:p w14:paraId="3BC10679" w14:textId="77777777" w:rsidR="00E81412" w:rsidRPr="00E81412" w:rsidRDefault="00E81412" w:rsidP="00E81412">
      <w:pPr>
        <w:widowControl/>
        <w:ind w:left="284" w:right="284"/>
        <w:jc w:val="center"/>
        <w:rPr>
          <w:rFonts w:ascii="Book Antiqua" w:hAnsi="Book Antiqua"/>
          <w:b/>
          <w:bCs/>
          <w:color w:val="000000" w:themeColor="text1"/>
          <w:sz w:val="24"/>
          <w:szCs w:val="24"/>
          <w:vertAlign w:val="superscript"/>
          <w:lang w:val="id-ID"/>
        </w:rPr>
      </w:pPr>
      <w:r w:rsidRPr="00E81412">
        <w:rPr>
          <w:rFonts w:ascii="Book Antiqua" w:hAnsi="Book Antiqua"/>
          <w:b/>
          <w:bCs/>
          <w:color w:val="000000" w:themeColor="text1"/>
          <w:sz w:val="24"/>
          <w:szCs w:val="24"/>
          <w:lang w:val="id-ID"/>
        </w:rPr>
        <w:t>Eka Vidyawati</w:t>
      </w:r>
      <w:r w:rsidRPr="00E81412">
        <w:rPr>
          <w:rFonts w:ascii="Book Antiqua" w:hAnsi="Book Antiqua"/>
          <w:b/>
          <w:bCs/>
          <w:color w:val="000000" w:themeColor="text1"/>
          <w:sz w:val="24"/>
          <w:szCs w:val="24"/>
          <w:vertAlign w:val="superscript"/>
          <w:lang w:val="id-ID"/>
        </w:rPr>
        <w:t>1</w:t>
      </w:r>
      <w:r w:rsidRPr="00E81412">
        <w:rPr>
          <w:rFonts w:ascii="Book Antiqua" w:hAnsi="Book Antiqua"/>
          <w:b/>
          <w:bCs/>
          <w:color w:val="000000" w:themeColor="text1"/>
          <w:sz w:val="24"/>
          <w:szCs w:val="24"/>
          <w:lang w:val="id-ID"/>
        </w:rPr>
        <w:t>, Shofia</w:t>
      </w:r>
      <w:r w:rsidRPr="00E81412">
        <w:rPr>
          <w:rFonts w:ascii="Book Antiqua" w:hAnsi="Book Antiqua"/>
          <w:b/>
          <w:bCs/>
          <w:color w:val="000000" w:themeColor="text1"/>
          <w:sz w:val="24"/>
          <w:szCs w:val="24"/>
          <w:vertAlign w:val="superscript"/>
          <w:lang w:val="id-ID"/>
        </w:rPr>
        <w:t>2</w:t>
      </w:r>
      <w:r w:rsidRPr="00E81412">
        <w:rPr>
          <w:rFonts w:ascii="Book Antiqua" w:hAnsi="Book Antiqua"/>
          <w:b/>
          <w:bCs/>
          <w:color w:val="000000" w:themeColor="text1"/>
          <w:sz w:val="24"/>
          <w:szCs w:val="24"/>
          <w:lang w:val="id-ID"/>
        </w:rPr>
        <w:t>, Nur Azizah</w:t>
      </w:r>
      <w:r w:rsidRPr="00E81412">
        <w:rPr>
          <w:rFonts w:ascii="Book Antiqua" w:hAnsi="Book Antiqua"/>
          <w:b/>
          <w:bCs/>
          <w:color w:val="000000" w:themeColor="text1"/>
          <w:sz w:val="24"/>
          <w:szCs w:val="24"/>
          <w:vertAlign w:val="superscript"/>
          <w:lang w:val="id-ID"/>
        </w:rPr>
        <w:t>3</w:t>
      </w:r>
      <w:r w:rsidRPr="00E81412">
        <w:rPr>
          <w:rFonts w:ascii="Book Antiqua" w:hAnsi="Book Antiqua"/>
          <w:b/>
          <w:bCs/>
          <w:color w:val="000000" w:themeColor="text1"/>
          <w:sz w:val="24"/>
          <w:szCs w:val="24"/>
          <w:lang w:val="id-ID"/>
        </w:rPr>
        <w:t>, Nova Saha Fasadena</w:t>
      </w:r>
      <w:r w:rsidRPr="00E81412">
        <w:rPr>
          <w:rFonts w:ascii="Book Antiqua" w:hAnsi="Book Antiqua"/>
          <w:b/>
          <w:bCs/>
          <w:color w:val="000000" w:themeColor="text1"/>
          <w:sz w:val="24"/>
          <w:szCs w:val="24"/>
          <w:vertAlign w:val="superscript"/>
          <w:lang w:val="id-ID"/>
        </w:rPr>
        <w:t>4</w:t>
      </w:r>
    </w:p>
    <w:p w14:paraId="77221257" w14:textId="67737B97" w:rsidR="00E81412" w:rsidRPr="00E81412" w:rsidRDefault="00E81412" w:rsidP="00E81412">
      <w:pPr>
        <w:jc w:val="center"/>
        <w:rPr>
          <w:rFonts w:ascii="Book Antiqua" w:hAnsi="Book Antiqua" w:cs="Trebuchet MS"/>
          <w:color w:val="000000" w:themeColor="text1"/>
          <w:sz w:val="20"/>
        </w:rPr>
      </w:pPr>
      <w:r w:rsidRPr="00E81412">
        <w:rPr>
          <w:rFonts w:ascii="Book Antiqua" w:hAnsi="Book Antiqua" w:cs="Trebuchet MS"/>
          <w:color w:val="000000" w:themeColor="text1"/>
          <w:sz w:val="20"/>
          <w:vertAlign w:val="superscript"/>
        </w:rPr>
        <w:t>1</w:t>
      </w:r>
      <w:r w:rsidR="00CC5F25">
        <w:rPr>
          <w:rFonts w:ascii="Book Antiqua" w:hAnsi="Book Antiqua" w:cs="Trebuchet MS"/>
          <w:color w:val="000000" w:themeColor="text1"/>
          <w:sz w:val="20"/>
          <w:vertAlign w:val="superscript"/>
        </w:rPr>
        <w:t>,2,3,4</w:t>
      </w:r>
      <w:r w:rsidRPr="00E81412">
        <w:rPr>
          <w:rFonts w:ascii="Book Antiqua" w:hAnsi="Book Antiqua"/>
          <w:color w:val="000000" w:themeColor="text1"/>
        </w:rPr>
        <w:t xml:space="preserve"> </w:t>
      </w:r>
      <w:r w:rsidRPr="00E81412">
        <w:rPr>
          <w:rFonts w:ascii="Book Antiqua" w:hAnsi="Book Antiqua" w:cs="Trebuchet MS"/>
          <w:color w:val="000000" w:themeColor="text1"/>
          <w:sz w:val="20"/>
          <w:lang w:val="id-ID"/>
        </w:rPr>
        <w:t>Universitas Islam KH. Achmad Muzakki Syah</w:t>
      </w:r>
      <w:r w:rsidRPr="00E81412">
        <w:rPr>
          <w:rFonts w:ascii="Book Antiqua" w:hAnsi="Book Antiqua" w:cs="Trebuchet MS"/>
          <w:color w:val="000000" w:themeColor="text1"/>
          <w:sz w:val="20"/>
        </w:rPr>
        <w:t xml:space="preserve"> Jember</w:t>
      </w:r>
      <w:bookmarkStart w:id="0" w:name="_GoBack"/>
      <w:bookmarkEnd w:id="0"/>
    </w:p>
    <w:p w14:paraId="352B7996" w14:textId="798BE33F" w:rsidR="00E81412" w:rsidRPr="00E81412" w:rsidRDefault="00E81412" w:rsidP="00E81412">
      <w:pPr>
        <w:widowControl/>
        <w:spacing w:line="276" w:lineRule="auto"/>
        <w:ind w:left="567" w:right="567"/>
        <w:jc w:val="center"/>
        <w:rPr>
          <w:rStyle w:val="Hyperlink"/>
          <w:rFonts w:ascii="Book Antiqua" w:eastAsia="Times New Roman" w:hAnsi="Book Antiqua" w:cs="Cordia New"/>
          <w:kern w:val="2"/>
          <w:sz w:val="20"/>
          <w:lang w:val="id-ID" w:eastAsia="zh-CN" w:bidi="th-TH"/>
          <w14:ligatures w14:val="standardContextual"/>
        </w:rPr>
      </w:pPr>
      <w:proofErr w:type="gramStart"/>
      <w:r>
        <w:rPr>
          <w:rFonts w:ascii="Book Antiqua" w:hAnsi="Book Antiqua"/>
        </w:rPr>
        <w:t>Email :</w:t>
      </w:r>
      <w:proofErr w:type="gramEnd"/>
      <w:r>
        <w:rPr>
          <w:rFonts w:ascii="Book Antiqua" w:hAnsi="Book Antiqua"/>
        </w:rPr>
        <w:t xml:space="preserve"> </w:t>
      </w:r>
      <w:hyperlink r:id="rId10" w:history="1">
        <w:r w:rsidRPr="00445C04">
          <w:rPr>
            <w:rFonts w:ascii="Book Antiqua" w:hAnsi="Book Antiqua"/>
            <w:color w:val="0000FF"/>
            <w:sz w:val="20"/>
            <w:szCs w:val="20"/>
            <w:u w:val="single"/>
            <w:lang w:val="id-ID" w:eastAsia="zh-CN" w:bidi="th-TH"/>
          </w:rPr>
          <w:t>ekaavidyawati@gmail.com</w:t>
        </w:r>
      </w:hyperlink>
      <w:r w:rsidR="00445C04" w:rsidRPr="00E81412">
        <w:rPr>
          <w:rFonts w:ascii="Book Antiqua" w:hAnsi="Book Antiqua" w:cs="Trebuchet MS"/>
          <w:color w:val="000000" w:themeColor="text1"/>
          <w:sz w:val="20"/>
          <w:vertAlign w:val="superscript"/>
        </w:rPr>
        <w:t>1</w:t>
      </w:r>
      <w:r w:rsidR="00445C04" w:rsidRPr="00E81412">
        <w:rPr>
          <w:rFonts w:ascii="Book Antiqua" w:hAnsi="Book Antiqua"/>
          <w:color w:val="000000" w:themeColor="text1"/>
        </w:rPr>
        <w:t xml:space="preserve"> </w:t>
      </w:r>
      <w:r w:rsidRPr="00E81412">
        <w:rPr>
          <w:rFonts w:ascii="Book Antiqua" w:eastAsia="DengXian" w:hAnsi="Book Antiqua" w:cs="Cordia New"/>
          <w:kern w:val="2"/>
          <w:sz w:val="20"/>
          <w:vertAlign w:val="superscript"/>
          <w:lang w:val="id-ID" w:eastAsia="zh-CN" w:bidi="th-TH"/>
          <w14:ligatures w14:val="standardContextual"/>
        </w:rPr>
        <w:t xml:space="preserve"> </w:t>
      </w:r>
      <w:r w:rsidRPr="00E81412">
        <w:rPr>
          <w:rFonts w:ascii="Book Antiqua" w:eastAsia="Times New Roman" w:hAnsi="Book Antiqua" w:cs="Cordia New"/>
          <w:kern w:val="2"/>
          <w:sz w:val="20"/>
          <w:lang w:val="id-ID" w:eastAsia="zh-CN" w:bidi="th-TH"/>
          <w14:ligatures w14:val="standardContextual"/>
        </w:rPr>
        <w:t xml:space="preserve">, </w:t>
      </w:r>
      <w:hyperlink r:id="rId11" w:history="1">
        <w:r w:rsidRPr="00E81412">
          <w:rPr>
            <w:rFonts w:ascii="Book Antiqua" w:hAnsi="Book Antiqua"/>
            <w:color w:val="0000FF"/>
            <w:sz w:val="20"/>
            <w:u w:val="single"/>
            <w:lang w:val="id-ID" w:eastAsia="zh-CN" w:bidi="th-TH"/>
          </w:rPr>
          <w:t>shofiaobphy14@gmail.com</w:t>
        </w:r>
      </w:hyperlink>
      <w:r w:rsidRPr="00E81412">
        <w:rPr>
          <w:rFonts w:ascii="Book Antiqua" w:eastAsia="DengXian" w:hAnsi="Book Antiqua" w:cs="Cordia New"/>
          <w:kern w:val="2"/>
          <w:sz w:val="20"/>
          <w:vertAlign w:val="superscript"/>
          <w:lang w:val="id-ID" w:eastAsia="zh-CN" w:bidi="th-TH"/>
          <w14:ligatures w14:val="standardContextual"/>
        </w:rPr>
        <w:t>2</w:t>
      </w:r>
      <w:r w:rsidRPr="00E81412">
        <w:rPr>
          <w:rFonts w:ascii="Book Antiqua" w:eastAsia="DengXian" w:hAnsi="Book Antiqua" w:cs="Cordia New"/>
          <w:kern w:val="2"/>
          <w:sz w:val="20"/>
          <w:lang w:val="id-ID" w:eastAsia="zh-CN" w:bidi="th-TH"/>
          <w14:ligatures w14:val="standardContextual"/>
        </w:rPr>
        <w:t xml:space="preserve">, </w:t>
      </w:r>
      <w:hyperlink r:id="rId12" w:history="1">
        <w:r w:rsidRPr="00E81412">
          <w:rPr>
            <w:rFonts w:ascii="Book Antiqua" w:eastAsia="Times New Roman" w:hAnsi="Book Antiqua" w:cs="Cordia New"/>
            <w:color w:val="0000FF"/>
            <w:kern w:val="2"/>
            <w:sz w:val="20"/>
            <w:u w:val="single"/>
            <w:lang w:val="id-ID" w:eastAsia="zh-CN" w:bidi="th-TH"/>
            <w14:ligatures w14:val="standardContextual"/>
          </w:rPr>
          <w:t>nurazizahku0704@gmail.com</w:t>
        </w:r>
      </w:hyperlink>
      <w:r w:rsidRPr="00E81412">
        <w:rPr>
          <w:rFonts w:ascii="Book Antiqua" w:hAnsi="Book Antiqua"/>
          <w:sz w:val="20"/>
          <w:vertAlign w:val="superscript"/>
          <w:lang w:bidi="th-TH"/>
        </w:rPr>
        <w:t>3</w:t>
      </w:r>
      <w:r w:rsidRPr="00E81412">
        <w:rPr>
          <w:rFonts w:ascii="Book Antiqua" w:hAnsi="Book Antiqua"/>
          <w:sz w:val="20"/>
          <w:lang w:val="id-ID" w:bidi="th-TH"/>
        </w:rPr>
        <w:t xml:space="preserve">, </w:t>
      </w:r>
      <w:r w:rsidRPr="00E81412">
        <w:rPr>
          <w:rFonts w:ascii="Book Antiqua" w:hAnsi="Book Antiqua"/>
          <w:iCs/>
          <w:color w:val="000000" w:themeColor="text1"/>
          <w:sz w:val="20"/>
          <w:lang w:val="id-ID"/>
        </w:rPr>
        <w:fldChar w:fldCharType="begin"/>
      </w:r>
      <w:r w:rsidRPr="00E81412">
        <w:rPr>
          <w:rFonts w:ascii="Book Antiqua" w:hAnsi="Book Antiqua"/>
          <w:iCs/>
          <w:color w:val="000000" w:themeColor="text1"/>
          <w:sz w:val="20"/>
          <w:lang w:val="id-ID"/>
        </w:rPr>
        <w:instrText>HYPERLINK "mailto:novahiday@gmail.com"</w:instrText>
      </w:r>
      <w:r w:rsidRPr="00E81412">
        <w:rPr>
          <w:rFonts w:ascii="Book Antiqua" w:hAnsi="Book Antiqua"/>
          <w:iCs/>
          <w:color w:val="000000" w:themeColor="text1"/>
          <w:sz w:val="20"/>
          <w:lang w:val="id-ID"/>
        </w:rPr>
        <w:fldChar w:fldCharType="separate"/>
      </w:r>
      <w:r w:rsidRPr="00E81412">
        <w:rPr>
          <w:rFonts w:ascii="Book Antiqua" w:eastAsia="Times New Roman" w:hAnsi="Book Antiqua"/>
          <w:color w:val="0000FF"/>
          <w:kern w:val="2"/>
          <w:sz w:val="20"/>
          <w:u w:val="single"/>
          <w:lang w:val="id-ID" w:eastAsia="zh-CN" w:bidi="th-TH"/>
          <w14:ligatures w14:val="standardContextual"/>
        </w:rPr>
        <w:t>novahiday@gmail.com</w:t>
      </w:r>
      <w:r w:rsidRPr="00E81412">
        <w:rPr>
          <w:rFonts w:ascii="Book Antiqua" w:hAnsi="Book Antiqua" w:cs="Trebuchet MS"/>
          <w:color w:val="000000" w:themeColor="text1"/>
          <w:sz w:val="20"/>
          <w:vertAlign w:val="superscript"/>
        </w:rPr>
        <w:t>4</w:t>
      </w:r>
    </w:p>
    <w:p w14:paraId="4F045EF7" w14:textId="06DD2CDC" w:rsidR="006C2D77" w:rsidRDefault="00E81412" w:rsidP="00445C04">
      <w:pPr>
        <w:spacing w:line="360" w:lineRule="auto"/>
        <w:rPr>
          <w:rFonts w:ascii="Book Antiqua" w:hAnsi="Book Antiqua"/>
          <w:iCs/>
          <w:color w:val="000000" w:themeColor="text1"/>
          <w:sz w:val="20"/>
          <w:lang w:val="id-ID"/>
        </w:rPr>
      </w:pPr>
      <w:r w:rsidRPr="00E81412">
        <w:rPr>
          <w:rFonts w:ascii="Book Antiqua" w:hAnsi="Book Antiqua"/>
          <w:iCs/>
          <w:color w:val="000000" w:themeColor="text1"/>
          <w:sz w:val="20"/>
          <w:lang w:val="id-ID"/>
        </w:rPr>
        <w:fldChar w:fldCharType="end"/>
      </w:r>
    </w:p>
    <w:p w14:paraId="42FC6871" w14:textId="77777777" w:rsidR="00445C04" w:rsidRPr="00445C04" w:rsidRDefault="00445C04" w:rsidP="00445C04">
      <w:pPr>
        <w:spacing w:line="360" w:lineRule="auto"/>
        <w:rPr>
          <w:rFonts w:ascii="Book Antiqua" w:hAnsi="Book Antiqua"/>
          <w:position w:val="5"/>
          <w:sz w:val="13"/>
        </w:rPr>
      </w:pPr>
    </w:p>
    <w:p w14:paraId="75BC08A9" w14:textId="77777777" w:rsidR="006C2D77" w:rsidRPr="00404778" w:rsidRDefault="00281E15" w:rsidP="00404778">
      <w:pPr>
        <w:rPr>
          <w:rFonts w:ascii="Book Antiqua" w:hAnsi="Book Antiqua"/>
          <w:b/>
          <w:bCs/>
        </w:rPr>
      </w:pPr>
      <w:proofErr w:type="gramStart"/>
      <w:r w:rsidRPr="00404778">
        <w:rPr>
          <w:rFonts w:ascii="Book Antiqua" w:hAnsi="Book Antiqua"/>
          <w:b/>
          <w:bCs/>
        </w:rPr>
        <w:t>Abstract</w:t>
      </w:r>
      <w:r w:rsidRPr="00404778">
        <w:rPr>
          <w:rFonts w:ascii="Book Antiqua" w:hAnsi="Book Antiqua"/>
          <w:b/>
          <w:bCs/>
          <w:spacing w:val="-4"/>
        </w:rPr>
        <w:t xml:space="preserve"> </w:t>
      </w:r>
      <w:r w:rsidRPr="00404778">
        <w:rPr>
          <w:rFonts w:ascii="Book Antiqua" w:hAnsi="Book Antiqua"/>
          <w:b/>
          <w:bCs/>
          <w:spacing w:val="-10"/>
        </w:rPr>
        <w:t>:</w:t>
      </w:r>
      <w:proofErr w:type="gramEnd"/>
    </w:p>
    <w:p w14:paraId="4CE2E425" w14:textId="2F519890" w:rsidR="00E81412" w:rsidRPr="008C115A" w:rsidRDefault="00E81412" w:rsidP="00E81412">
      <w:pPr>
        <w:ind w:left="851"/>
        <w:jc w:val="both"/>
        <w:rPr>
          <w:rFonts w:ascii="Book Antiqua" w:hAnsi="Book Antiqua"/>
          <w:color w:val="000000" w:themeColor="text1"/>
          <w:sz w:val="24"/>
          <w:szCs w:val="24"/>
          <w:lang w:val="en-ID"/>
        </w:rPr>
      </w:pPr>
      <w:r w:rsidRPr="008C115A">
        <w:rPr>
          <w:rFonts w:ascii="Book Antiqua" w:hAnsi="Book Antiqua"/>
          <w:color w:val="000000" w:themeColor="text1"/>
          <w:sz w:val="24"/>
          <w:szCs w:val="24"/>
          <w:lang w:val="en-ID"/>
        </w:rPr>
        <w:t xml:space="preserve">This research aims to analyze the concept of anti-extremism in QS. An-Nisa' [4]:171 through the perspective of tarbawi tafsir (educational interpretation) with a focus on the prohibition of ghuluw (excessiveness/extremism) in religion. The phenomenon of religious extremism developing in the digital era indicates the need to strengthen the values of moderation derived from Islamic teachings. This research employs a qualitative approach with library research as the research type. The primary data sources consist of the Qur'an, particularly QS. An-Nisa' [4]:171, as well as classical and contemporary tafsir (exegesis) books, while secondary sources include books, scientific journals, and relevant research findings. Data collection techniques utilize documentation, and data analysis techniques employ content analysis. The research findings indicate that QS. An-Nisa' [4]:171 contains three main principles of anti-extremism education, namely the prohibition of ghuluw in understanding religion, the reinforcement of moderate attitudes (wasathiyyah), and the formation of a balanced religious pattern between creed, worship, and social aspects. From the perspective of tarbawi tafsir, this verse contains educational values in the form of developing critical attitudes, tolerance, respect for differences, and rejection of excessive fanaticism that has the potential to give rise to extremism. The research findings also show that the concept of the prohibition of ghuluw has strong relevance to the theories of religious moderation, multicultural education, and peace education that are developing in international studies. </w:t>
      </w:r>
      <w:proofErr w:type="gramStart"/>
      <w:r w:rsidRPr="008C115A">
        <w:rPr>
          <w:rFonts w:ascii="Book Antiqua" w:hAnsi="Book Antiqua"/>
          <w:color w:val="000000" w:themeColor="text1"/>
          <w:sz w:val="24"/>
          <w:szCs w:val="24"/>
          <w:lang w:val="en-ID"/>
        </w:rPr>
        <w:t>Therefore, QS.</w:t>
      </w:r>
      <w:proofErr w:type="gramEnd"/>
      <w:r w:rsidRPr="008C115A">
        <w:rPr>
          <w:rFonts w:ascii="Book Antiqua" w:hAnsi="Book Antiqua"/>
          <w:color w:val="000000" w:themeColor="text1"/>
          <w:sz w:val="24"/>
          <w:szCs w:val="24"/>
          <w:lang w:val="en-ID"/>
        </w:rPr>
        <w:t xml:space="preserve"> An-Nisa' [4]:171 can serve as a conceptual foundation in building an Islamic education system capable of preventing the development of extremism and strengthening a culture of tolerance in modern society.</w:t>
      </w:r>
    </w:p>
    <w:p w14:paraId="2F446AFC" w14:textId="3522C53C" w:rsidR="006C2D77" w:rsidRPr="00E81412" w:rsidRDefault="00E81412" w:rsidP="00E81412">
      <w:pPr>
        <w:jc w:val="both"/>
        <w:rPr>
          <w:rFonts w:ascii="Book Antiqua" w:hAnsi="Book Antiqua"/>
          <w:i/>
          <w:iCs/>
          <w:color w:val="000000" w:themeColor="text1"/>
          <w:sz w:val="24"/>
          <w:szCs w:val="24"/>
          <w:lang w:val="en-ID"/>
        </w:rPr>
      </w:pPr>
      <w:r w:rsidRPr="008C115A">
        <w:rPr>
          <w:rFonts w:ascii="Book Antiqua" w:hAnsi="Book Antiqua"/>
          <w:b/>
          <w:bCs/>
          <w:color w:val="000000" w:themeColor="text1"/>
          <w:sz w:val="24"/>
          <w:szCs w:val="24"/>
          <w:lang w:val="en-ID"/>
        </w:rPr>
        <w:t>Keywords:</w:t>
      </w:r>
      <w:r w:rsidRPr="008C115A">
        <w:rPr>
          <w:rFonts w:ascii="Book Antiqua" w:hAnsi="Book Antiqua"/>
          <w:color w:val="000000" w:themeColor="text1"/>
          <w:sz w:val="24"/>
          <w:szCs w:val="24"/>
          <w:lang w:val="en-ID"/>
        </w:rPr>
        <w:t xml:space="preserve"> </w:t>
      </w:r>
      <w:r w:rsidRPr="008C115A">
        <w:rPr>
          <w:rFonts w:ascii="Book Antiqua" w:hAnsi="Book Antiqua"/>
          <w:i/>
          <w:iCs/>
          <w:color w:val="000000" w:themeColor="text1"/>
          <w:sz w:val="24"/>
          <w:szCs w:val="24"/>
          <w:lang w:val="en-ID"/>
        </w:rPr>
        <w:t xml:space="preserve">Anti-Extremism, QS. </w:t>
      </w:r>
      <w:proofErr w:type="gramStart"/>
      <w:r w:rsidRPr="008C115A">
        <w:rPr>
          <w:rFonts w:ascii="Book Antiqua" w:hAnsi="Book Antiqua"/>
          <w:i/>
          <w:iCs/>
          <w:color w:val="000000" w:themeColor="text1"/>
          <w:sz w:val="24"/>
          <w:szCs w:val="24"/>
          <w:lang w:val="en-ID"/>
        </w:rPr>
        <w:t>An-Nisa' Verse 171, Tarbawi Tafsir, Ghuluw, Religious Moderation.</w:t>
      </w:r>
      <w:proofErr w:type="gramEnd"/>
    </w:p>
    <w:p w14:paraId="6EC8FFC3" w14:textId="77777777" w:rsidR="006C2D77" w:rsidRPr="00404778" w:rsidRDefault="00281E15" w:rsidP="00404778">
      <w:pPr>
        <w:rPr>
          <w:rFonts w:ascii="Book Antiqua" w:hAnsi="Book Antiqua"/>
          <w:b/>
          <w:bCs/>
          <w:sz w:val="24"/>
          <w:szCs w:val="24"/>
        </w:rPr>
      </w:pPr>
      <w:proofErr w:type="gramStart"/>
      <w:r w:rsidRPr="00404778">
        <w:rPr>
          <w:rFonts w:ascii="Book Antiqua" w:hAnsi="Book Antiqua"/>
          <w:b/>
          <w:bCs/>
          <w:sz w:val="24"/>
          <w:szCs w:val="24"/>
        </w:rPr>
        <w:lastRenderedPageBreak/>
        <w:t>Abstrak</w:t>
      </w:r>
      <w:r w:rsidRPr="00404778">
        <w:rPr>
          <w:rFonts w:ascii="Book Antiqua" w:hAnsi="Book Antiqua"/>
          <w:b/>
          <w:bCs/>
          <w:spacing w:val="-4"/>
          <w:sz w:val="24"/>
          <w:szCs w:val="24"/>
        </w:rPr>
        <w:t xml:space="preserve"> </w:t>
      </w:r>
      <w:r w:rsidRPr="00404778">
        <w:rPr>
          <w:rFonts w:ascii="Book Antiqua" w:hAnsi="Book Antiqua"/>
          <w:b/>
          <w:bCs/>
          <w:spacing w:val="-10"/>
          <w:sz w:val="24"/>
          <w:szCs w:val="24"/>
        </w:rPr>
        <w:t>:</w:t>
      </w:r>
      <w:proofErr w:type="gramEnd"/>
    </w:p>
    <w:p w14:paraId="6A68784A" w14:textId="773B8E04" w:rsidR="00E81412" w:rsidRPr="008C115A" w:rsidRDefault="00E81412" w:rsidP="00E81412">
      <w:pPr>
        <w:ind w:left="851"/>
        <w:jc w:val="both"/>
        <w:rPr>
          <w:rFonts w:ascii="Book Antiqua" w:hAnsi="Book Antiqua"/>
          <w:color w:val="000000" w:themeColor="text1"/>
          <w:sz w:val="24"/>
          <w:szCs w:val="24"/>
          <w:lang w:val="en-ID"/>
        </w:rPr>
      </w:pPr>
      <w:proofErr w:type="gramStart"/>
      <w:r w:rsidRPr="008C115A">
        <w:rPr>
          <w:rFonts w:ascii="Book Antiqua" w:hAnsi="Book Antiqua"/>
          <w:color w:val="000000" w:themeColor="text1"/>
          <w:sz w:val="24"/>
          <w:szCs w:val="24"/>
          <w:lang w:val="en-ID"/>
        </w:rPr>
        <w:t>Penelitian ini bertujuan untuk menganalisis konsep anti-ekstremisme dalam QS.</w:t>
      </w:r>
      <w:proofErr w:type="gramEnd"/>
      <w:r w:rsidRPr="008C115A">
        <w:rPr>
          <w:rFonts w:ascii="Book Antiqua" w:hAnsi="Book Antiqua"/>
          <w:color w:val="000000" w:themeColor="text1"/>
          <w:sz w:val="24"/>
          <w:szCs w:val="24"/>
          <w:lang w:val="en-ID"/>
        </w:rPr>
        <w:t xml:space="preserve"> An-Nisa' [4]:171 melalui perspektif tafsir tarbawi dengan fokus pada larangan ghuluw dalam beragama. </w:t>
      </w:r>
      <w:proofErr w:type="gramStart"/>
      <w:r w:rsidRPr="008C115A">
        <w:rPr>
          <w:rFonts w:ascii="Book Antiqua" w:hAnsi="Book Antiqua"/>
          <w:color w:val="000000" w:themeColor="text1"/>
          <w:sz w:val="24"/>
          <w:szCs w:val="24"/>
          <w:lang w:val="en-ID"/>
        </w:rPr>
        <w:t>Fenomena ekstremisme keagamaan yang berkembang pada era digital menunjukkan perlunya penguatan nilai-nilai moderasi yang bersumber dari ajaran Islam.</w:t>
      </w:r>
      <w:proofErr w:type="gramEnd"/>
      <w:r w:rsidRPr="008C115A">
        <w:rPr>
          <w:rFonts w:ascii="Book Antiqua" w:hAnsi="Book Antiqua"/>
          <w:color w:val="000000" w:themeColor="text1"/>
          <w:sz w:val="24"/>
          <w:szCs w:val="24"/>
          <w:lang w:val="en-ID"/>
        </w:rPr>
        <w:t xml:space="preserve"> </w:t>
      </w:r>
      <w:proofErr w:type="gramStart"/>
      <w:r w:rsidRPr="008C115A">
        <w:rPr>
          <w:rFonts w:ascii="Book Antiqua" w:hAnsi="Book Antiqua"/>
          <w:color w:val="000000" w:themeColor="text1"/>
          <w:sz w:val="24"/>
          <w:szCs w:val="24"/>
          <w:lang w:val="en-ID"/>
        </w:rPr>
        <w:t>Penelitian ini menggunakan pendekatan kualitatif dengan jenis library research.</w:t>
      </w:r>
      <w:proofErr w:type="gramEnd"/>
      <w:r w:rsidRPr="008C115A">
        <w:rPr>
          <w:rFonts w:ascii="Book Antiqua" w:hAnsi="Book Antiqua"/>
          <w:color w:val="000000" w:themeColor="text1"/>
          <w:sz w:val="24"/>
          <w:szCs w:val="24"/>
          <w:lang w:val="en-ID"/>
        </w:rPr>
        <w:t xml:space="preserve"> </w:t>
      </w:r>
      <w:proofErr w:type="gramStart"/>
      <w:r w:rsidRPr="008C115A">
        <w:rPr>
          <w:rFonts w:ascii="Book Antiqua" w:hAnsi="Book Antiqua"/>
          <w:color w:val="000000" w:themeColor="text1"/>
          <w:sz w:val="24"/>
          <w:szCs w:val="24"/>
          <w:lang w:val="en-ID"/>
        </w:rPr>
        <w:t>Sumber data primer berupa Al-Qur'an khususnya QS.</w:t>
      </w:r>
      <w:proofErr w:type="gramEnd"/>
      <w:r w:rsidRPr="008C115A">
        <w:rPr>
          <w:rFonts w:ascii="Book Antiqua" w:hAnsi="Book Antiqua"/>
          <w:color w:val="000000" w:themeColor="text1"/>
          <w:sz w:val="24"/>
          <w:szCs w:val="24"/>
          <w:lang w:val="en-ID"/>
        </w:rPr>
        <w:t xml:space="preserve"> An-Nisa' [4]:171 serta kitab-kitab tafsir klasik dan kontemporer, sedangkan sumber sekunder berupa buku, jurnal ilmiah, dan hasil penelitian yang relevan. </w:t>
      </w:r>
      <w:proofErr w:type="gramStart"/>
      <w:r w:rsidRPr="008C115A">
        <w:rPr>
          <w:rFonts w:ascii="Book Antiqua" w:hAnsi="Book Antiqua"/>
          <w:color w:val="000000" w:themeColor="text1"/>
          <w:sz w:val="24"/>
          <w:szCs w:val="24"/>
          <w:lang w:val="en-ID"/>
        </w:rPr>
        <w:t>Teknik pengumpulan data menggunakan dokumentasi dan teknik analisis data menggunakan content analysis.</w:t>
      </w:r>
      <w:proofErr w:type="gramEnd"/>
      <w:r w:rsidRPr="008C115A">
        <w:rPr>
          <w:rFonts w:ascii="Book Antiqua" w:hAnsi="Book Antiqua"/>
          <w:color w:val="000000" w:themeColor="text1"/>
          <w:sz w:val="24"/>
          <w:szCs w:val="24"/>
          <w:lang w:val="en-ID"/>
        </w:rPr>
        <w:t xml:space="preserve"> </w:t>
      </w:r>
      <w:proofErr w:type="gramStart"/>
      <w:r w:rsidRPr="008C115A">
        <w:rPr>
          <w:rFonts w:ascii="Book Antiqua" w:hAnsi="Book Antiqua"/>
          <w:color w:val="000000" w:themeColor="text1"/>
          <w:sz w:val="24"/>
          <w:szCs w:val="24"/>
          <w:lang w:val="en-ID"/>
        </w:rPr>
        <w:t>Hasil penelitian menunjukkan bahwa QS.</w:t>
      </w:r>
      <w:proofErr w:type="gramEnd"/>
      <w:r w:rsidRPr="008C115A">
        <w:rPr>
          <w:rFonts w:ascii="Book Antiqua" w:hAnsi="Book Antiqua"/>
          <w:color w:val="000000" w:themeColor="text1"/>
          <w:sz w:val="24"/>
          <w:szCs w:val="24"/>
          <w:lang w:val="en-ID"/>
        </w:rPr>
        <w:t xml:space="preserve"> An-Nisa' [4]:171 mengandung tiga prinsip utama pendidikan anti-ekstremisme yaitu larangan ghuluw dalam memahami agama, penguatan sikap moderasi (wasathiyyah), dan pembentukan pola keberagamaan yang seimbang antara aspek akidah, ibadah, dan sosial. </w:t>
      </w:r>
      <w:proofErr w:type="gramStart"/>
      <w:r w:rsidRPr="008C115A">
        <w:rPr>
          <w:rFonts w:ascii="Book Antiqua" w:hAnsi="Book Antiqua"/>
          <w:color w:val="000000" w:themeColor="text1"/>
          <w:sz w:val="24"/>
          <w:szCs w:val="24"/>
          <w:lang w:val="en-ID"/>
        </w:rPr>
        <w:t>Dalam perspektif tafsir tarbawi, ayat tersebut mengandung nilai pendidikan berupa pengembangan sikap kritis, toleransi, penghormatan terhadap perbedaan, serta penolakan terhadap fanatisme berlebihan yang berpotensi melahirkan ekstremisme.</w:t>
      </w:r>
      <w:proofErr w:type="gramEnd"/>
      <w:r w:rsidRPr="008C115A">
        <w:rPr>
          <w:rFonts w:ascii="Book Antiqua" w:hAnsi="Book Antiqua"/>
          <w:color w:val="000000" w:themeColor="text1"/>
          <w:sz w:val="24"/>
          <w:szCs w:val="24"/>
          <w:lang w:val="en-ID"/>
        </w:rPr>
        <w:t xml:space="preserve"> </w:t>
      </w:r>
      <w:proofErr w:type="gramStart"/>
      <w:r w:rsidRPr="008C115A">
        <w:rPr>
          <w:rFonts w:ascii="Book Antiqua" w:hAnsi="Book Antiqua"/>
          <w:color w:val="000000" w:themeColor="text1"/>
          <w:sz w:val="24"/>
          <w:szCs w:val="24"/>
          <w:lang w:val="en-ID"/>
        </w:rPr>
        <w:t>Temuan penelitian juga menunjukkan bahwa konsep larangan ghuluw memiliki relevansi kuat dengan teori moderasi beragama, pendidikan multikultural, dan pendidikan perdamaian yang berkembang dalam kajian internasional.</w:t>
      </w:r>
      <w:proofErr w:type="gramEnd"/>
      <w:r w:rsidRPr="008C115A">
        <w:rPr>
          <w:rFonts w:ascii="Book Antiqua" w:hAnsi="Book Antiqua"/>
          <w:color w:val="000000" w:themeColor="text1"/>
          <w:sz w:val="24"/>
          <w:szCs w:val="24"/>
          <w:lang w:val="en-ID"/>
        </w:rPr>
        <w:t xml:space="preserve"> </w:t>
      </w:r>
      <w:proofErr w:type="gramStart"/>
      <w:r w:rsidRPr="008C115A">
        <w:rPr>
          <w:rFonts w:ascii="Book Antiqua" w:hAnsi="Book Antiqua"/>
          <w:color w:val="000000" w:themeColor="text1"/>
          <w:sz w:val="24"/>
          <w:szCs w:val="24"/>
          <w:lang w:val="en-ID"/>
        </w:rPr>
        <w:t>Oleh karena itu, QS.</w:t>
      </w:r>
      <w:proofErr w:type="gramEnd"/>
      <w:r w:rsidRPr="008C115A">
        <w:rPr>
          <w:rFonts w:ascii="Book Antiqua" w:hAnsi="Book Antiqua"/>
          <w:color w:val="000000" w:themeColor="text1"/>
          <w:sz w:val="24"/>
          <w:szCs w:val="24"/>
          <w:lang w:val="en-ID"/>
        </w:rPr>
        <w:t xml:space="preserve"> An-Nisa' [4]:171 dapat dijadikan landasan konseptual dalam membangun sistem pendidikan Islam yang mampu mencegah berkembangnya ekstremisme dan memperkuat budaya toleransi dalam masyarakat modern.</w:t>
      </w:r>
    </w:p>
    <w:p w14:paraId="44DB96CF" w14:textId="77777777" w:rsidR="00E81412" w:rsidRDefault="00E81412" w:rsidP="00E81412">
      <w:pPr>
        <w:jc w:val="both"/>
        <w:rPr>
          <w:rFonts w:ascii="Book Antiqua" w:hAnsi="Book Antiqua"/>
          <w:color w:val="000000" w:themeColor="text1"/>
          <w:sz w:val="24"/>
          <w:szCs w:val="24"/>
          <w:lang w:val="en-ID"/>
        </w:rPr>
      </w:pPr>
      <w:r w:rsidRPr="008C115A">
        <w:rPr>
          <w:rFonts w:ascii="Book Antiqua" w:hAnsi="Book Antiqua"/>
          <w:b/>
          <w:bCs/>
          <w:color w:val="000000" w:themeColor="text1"/>
          <w:sz w:val="24"/>
          <w:szCs w:val="24"/>
          <w:lang w:val="en-ID"/>
        </w:rPr>
        <w:t>Kata Kunci:</w:t>
      </w:r>
      <w:r w:rsidRPr="008C115A">
        <w:rPr>
          <w:rFonts w:ascii="Book Antiqua" w:hAnsi="Book Antiqua"/>
          <w:color w:val="000000" w:themeColor="text1"/>
          <w:sz w:val="24"/>
          <w:szCs w:val="24"/>
          <w:lang w:val="en-ID"/>
        </w:rPr>
        <w:t xml:space="preserve"> Anti-Ekstremisme, QS. </w:t>
      </w:r>
      <w:proofErr w:type="gramStart"/>
      <w:r w:rsidRPr="008C115A">
        <w:rPr>
          <w:rFonts w:ascii="Book Antiqua" w:hAnsi="Book Antiqua"/>
          <w:color w:val="000000" w:themeColor="text1"/>
          <w:sz w:val="24"/>
          <w:szCs w:val="24"/>
          <w:lang w:val="en-ID"/>
        </w:rPr>
        <w:t>An-Nisa' Ayat 171, Tafsir Tarbawi, Ghuluw, Moderasi Beragama.</w:t>
      </w:r>
      <w:proofErr w:type="gramEnd"/>
    </w:p>
    <w:p w14:paraId="5F7CECDE" w14:textId="77777777" w:rsidR="007178FE" w:rsidRDefault="007178FE" w:rsidP="007178FE">
      <w:pPr>
        <w:spacing w:line="213" w:lineRule="auto"/>
        <w:ind w:left="2"/>
        <w:rPr>
          <w:rFonts w:ascii="Book Antiqua" w:hAnsi="Book Antiqua"/>
          <w:spacing w:val="-2"/>
        </w:rPr>
      </w:pPr>
    </w:p>
    <w:p w14:paraId="0A4B3B02" w14:textId="680A324B" w:rsidR="006C2D77" w:rsidRPr="007178FE" w:rsidRDefault="00281E15" w:rsidP="007178FE">
      <w:pPr>
        <w:spacing w:line="213" w:lineRule="auto"/>
        <w:ind w:left="2"/>
        <w:rPr>
          <w:rFonts w:ascii="Book Antiqua" w:hAnsi="Book Antiqua"/>
          <w:i/>
          <w:sz w:val="24"/>
        </w:rPr>
      </w:pPr>
      <w:r w:rsidRPr="007178FE">
        <w:rPr>
          <w:rFonts w:ascii="Book Antiqua" w:hAnsi="Book Antiqua"/>
          <w:b/>
          <w:bCs/>
          <w:spacing w:val="-2"/>
          <w:sz w:val="24"/>
          <w:szCs w:val="24"/>
        </w:rPr>
        <w:t>PENDAHULUAN</w:t>
      </w:r>
      <w:r w:rsidR="00A025E5" w:rsidRPr="007178FE">
        <w:rPr>
          <w:rFonts w:ascii="Book Antiqua" w:hAnsi="Book Antiqua"/>
          <w:spacing w:val="-2"/>
          <w:sz w:val="24"/>
          <w:szCs w:val="24"/>
        </w:rPr>
        <w:t xml:space="preserve"> </w:t>
      </w:r>
    </w:p>
    <w:p w14:paraId="07CFA31C" w14:textId="3164E191" w:rsidR="00F943A6" w:rsidRPr="008C115A" w:rsidRDefault="00F943A6" w:rsidP="00F943A6">
      <w:pPr>
        <w:ind w:firstLine="720"/>
        <w:jc w:val="both"/>
        <w:rPr>
          <w:rFonts w:ascii="Book Antiqua" w:eastAsia="Times New Roman" w:hAnsi="Book Antiqua"/>
          <w:color w:val="000000" w:themeColor="text1"/>
          <w:sz w:val="24"/>
          <w:szCs w:val="24"/>
        </w:rPr>
      </w:pPr>
      <w:proofErr w:type="gramStart"/>
      <w:r w:rsidRPr="008C115A">
        <w:rPr>
          <w:rFonts w:ascii="Book Antiqua" w:eastAsia="Times New Roman" w:hAnsi="Book Antiqua"/>
          <w:color w:val="000000" w:themeColor="text1"/>
          <w:sz w:val="24"/>
          <w:szCs w:val="24"/>
        </w:rPr>
        <w:t>Konsep anti-ekstremisme dalam QS.</w:t>
      </w:r>
      <w:proofErr w:type="gramEnd"/>
      <w:r w:rsidRPr="008C115A">
        <w:rPr>
          <w:rFonts w:ascii="Book Antiqua" w:eastAsia="Times New Roman" w:hAnsi="Book Antiqua"/>
          <w:color w:val="000000" w:themeColor="text1"/>
          <w:sz w:val="24"/>
          <w:szCs w:val="24"/>
        </w:rPr>
        <w:t xml:space="preserve"> An-Nisa' [4]:171 menjadi kajian yang sangat penting di tengah meningkatnya fenomena radikalisme dan ekstremisme keagamaan yang berkembang dalam masyarakat global maupun Indonesia. Azra </w:t>
      </w:r>
      <w:r>
        <w:rPr>
          <w:rFonts w:ascii="Book Antiqua" w:eastAsia="Times New Roman" w:hAnsi="Book Antiqua"/>
          <w:color w:val="000000" w:themeColor="text1"/>
          <w:sz w:val="24"/>
          <w:szCs w:val="24"/>
        </w:rPr>
        <w:fldChar w:fldCharType="begin" w:fldLock="1"/>
      </w:r>
      <w:r>
        <w:rPr>
          <w:rFonts w:ascii="Book Antiqua" w:eastAsia="Times New Roman" w:hAnsi="Book Antiqua"/>
          <w:color w:val="000000" w:themeColor="text1"/>
          <w:sz w:val="24"/>
          <w:szCs w:val="24"/>
        </w:rPr>
        <w:instrText>ADDIN CSL_CITATION {"citationItems":[{"id":"ITEM-1","itemData":{"author":[{"dropping-particle":"","family":"Azra","given":"Azyumardi.","non-dropping-particle":"","parse-names":false,"suffix":""}],"id":"ITEM-1","issued":{"date-parts":[["2019"]]},"publisher":"Kencana.","publisher-place":"Jakarta","title":"Moderasi Islam di Indonesia dari Ajaran, Ibadah, hingga Perilaku.","type":"book"},"uris":["http://www.mendeley.com/documents/?uuid=e3c29cbf-2d48-406c-8042-08eb6153c555"]}],"mendeley":{"formattedCitation":"(Azra, 2019)","plainTextFormattedCitation":"(Azra, 2019)","previouslyFormattedCitation":"(Azra, 2019)"},"properties":{"noteIndex":0},"schema":"https://github.com/citation-style-language/schema/raw/master/csl-citation.json"}</w:instrText>
      </w:r>
      <w:r>
        <w:rPr>
          <w:rFonts w:ascii="Book Antiqua" w:eastAsia="Times New Roman" w:hAnsi="Book Antiqua"/>
          <w:color w:val="000000" w:themeColor="text1"/>
          <w:sz w:val="24"/>
          <w:szCs w:val="24"/>
        </w:rPr>
        <w:fldChar w:fldCharType="separate"/>
      </w:r>
      <w:r w:rsidRPr="0067708E">
        <w:rPr>
          <w:rFonts w:ascii="Book Antiqua" w:eastAsia="Times New Roman" w:hAnsi="Book Antiqua"/>
          <w:noProof/>
          <w:color w:val="000000" w:themeColor="text1"/>
          <w:sz w:val="24"/>
          <w:szCs w:val="24"/>
        </w:rPr>
        <w:t>(Azra, 2019)</w:t>
      </w:r>
      <w:r>
        <w:rPr>
          <w:rFonts w:ascii="Book Antiqua" w:eastAsia="Times New Roman" w:hAnsi="Book Antiqua"/>
          <w:color w:val="000000" w:themeColor="text1"/>
          <w:sz w:val="24"/>
          <w:szCs w:val="24"/>
        </w:rPr>
        <w:fldChar w:fldCharType="end"/>
      </w:r>
      <w:r w:rsidRPr="008C115A">
        <w:rPr>
          <w:rFonts w:ascii="Book Antiqua" w:eastAsia="Times New Roman" w:hAnsi="Book Antiqua"/>
          <w:color w:val="000000" w:themeColor="text1"/>
          <w:sz w:val="24"/>
          <w:szCs w:val="24"/>
        </w:rPr>
        <w:t xml:space="preserve"> menjelaskan bahwa ekstremisme muncul ketika ajaran agama dipahami secara sempit dan diterapkan secara berlebihan tanpa mempertimbangkan prinsip keseimbangan yang menjadi karakter utama Islam. A</w:t>
      </w:r>
      <w:r>
        <w:rPr>
          <w:rFonts w:ascii="Book Antiqua" w:eastAsia="Times New Roman" w:hAnsi="Book Antiqua"/>
          <w:color w:val="000000" w:themeColor="text1"/>
          <w:sz w:val="24"/>
          <w:szCs w:val="24"/>
        </w:rPr>
        <w:t xml:space="preserve">hmad </w:t>
      </w:r>
      <w:r>
        <w:rPr>
          <w:rFonts w:ascii="Book Antiqua" w:eastAsia="Times New Roman" w:hAnsi="Book Antiqua"/>
          <w:color w:val="000000" w:themeColor="text1"/>
          <w:sz w:val="24"/>
          <w:szCs w:val="24"/>
        </w:rPr>
        <w:fldChar w:fldCharType="begin" w:fldLock="1"/>
      </w:r>
      <w:r>
        <w:rPr>
          <w:rFonts w:ascii="Book Antiqua" w:eastAsia="Times New Roman" w:hAnsi="Book Antiqua"/>
          <w:color w:val="000000" w:themeColor="text1"/>
          <w:sz w:val="24"/>
          <w:szCs w:val="24"/>
        </w:rPr>
        <w:instrText>ADDIN CSL_CITATION {"citationItems":[{"id":"ITEM-1","itemData":{"author":[{"dropping-particle":"","family":"Ahmad","given":"Zainal.","non-dropping-particle":"","parse-names":false,"suffix":""}],"container-title":"Jurnal Ilmu Al-Qur'an dan Tafsir","id":"ITEM-1","issued":{"date-parts":[["2020"]]},"page":"78-95.","title":"Konsep Ghuluw dalam Perspektif Tafsir Al-Misbah dan Relevansinya terhadap Radikalisme.","type":"article-journal","volume":"6(1),"},"uris":["http://www.mendeley.com/documents/?uuid=e45c6e85-5c50-4e55-850e-cf9bd73d4887"]}],"mendeley":{"formattedCitation":"(Ahmad, 2020)","plainTextFormattedCitation":"(Ahmad, 2020)","previouslyFormattedCitation":"(Ahmad, 2020)"},"properties":{"noteIndex":0},"schema":"https://github.com/citation-style-language/schema/raw/master/csl-citation.json"}</w:instrText>
      </w:r>
      <w:r>
        <w:rPr>
          <w:rFonts w:ascii="Book Antiqua" w:eastAsia="Times New Roman" w:hAnsi="Book Antiqua"/>
          <w:color w:val="000000" w:themeColor="text1"/>
          <w:sz w:val="24"/>
          <w:szCs w:val="24"/>
        </w:rPr>
        <w:fldChar w:fldCharType="separate"/>
      </w:r>
      <w:r w:rsidRPr="0067708E">
        <w:rPr>
          <w:rFonts w:ascii="Book Antiqua" w:eastAsia="Times New Roman" w:hAnsi="Book Antiqua"/>
          <w:noProof/>
          <w:color w:val="000000" w:themeColor="text1"/>
          <w:sz w:val="24"/>
          <w:szCs w:val="24"/>
        </w:rPr>
        <w:t>(Ahmad, 2020)</w:t>
      </w:r>
      <w:r>
        <w:rPr>
          <w:rFonts w:ascii="Book Antiqua" w:eastAsia="Times New Roman" w:hAnsi="Book Antiqua"/>
          <w:color w:val="000000" w:themeColor="text1"/>
          <w:sz w:val="24"/>
          <w:szCs w:val="24"/>
        </w:rPr>
        <w:fldChar w:fldCharType="end"/>
      </w:r>
      <w:r>
        <w:rPr>
          <w:rFonts w:ascii="Book Antiqua" w:eastAsia="Times New Roman" w:hAnsi="Book Antiqua"/>
          <w:color w:val="000000" w:themeColor="text1"/>
          <w:sz w:val="24"/>
          <w:szCs w:val="24"/>
        </w:rPr>
        <w:t xml:space="preserve"> </w:t>
      </w:r>
      <w:r w:rsidRPr="008C115A">
        <w:rPr>
          <w:rFonts w:ascii="Book Antiqua" w:eastAsia="Times New Roman" w:hAnsi="Book Antiqua"/>
          <w:color w:val="000000" w:themeColor="text1"/>
          <w:sz w:val="24"/>
          <w:szCs w:val="24"/>
        </w:rPr>
        <w:t xml:space="preserve">menambahkan bahwa ghuluw merupakan penyimpangan pemahaman agama yang ditandai oleh sikap berlebih-lebihan sehingga melahirkan fanatisme dan intoleransi terhadap kelompok lain. </w:t>
      </w:r>
      <w:proofErr w:type="gramStart"/>
      <w:r w:rsidRPr="008C115A">
        <w:rPr>
          <w:rFonts w:ascii="Book Antiqua" w:eastAsia="Times New Roman" w:hAnsi="Book Antiqua"/>
          <w:color w:val="000000" w:themeColor="text1"/>
          <w:sz w:val="24"/>
          <w:szCs w:val="24"/>
        </w:rPr>
        <w:t>Fenomena tersebut dapat dilihat dari meningkatnya penyebaran ujaran kebencian berbasis agama, praktik takfirisme, serta narasi eksklusif yang berkembang melalui media digital dan komunitas tertentu.</w:t>
      </w:r>
      <w:proofErr w:type="gramEnd"/>
      <w:r w:rsidRPr="008C115A">
        <w:rPr>
          <w:rFonts w:ascii="Book Antiqua" w:eastAsia="Times New Roman" w:hAnsi="Book Antiqua"/>
          <w:color w:val="000000" w:themeColor="text1"/>
          <w:sz w:val="24"/>
          <w:szCs w:val="24"/>
        </w:rPr>
        <w:t xml:space="preserve"> Berbagai penelitian tentang moderasi beragama menunjukkan bahwa kelompok ekstrem sering menggunakan legitimasi agama untuk membenarkan tindakan yang bertentangan dengan prinsip rahmatan lil 'alamin </w:t>
      </w:r>
      <w:r>
        <w:rPr>
          <w:rStyle w:val="FootnoteReference"/>
          <w:rFonts w:ascii="Book Antiqua" w:eastAsia="Times New Roman" w:hAnsi="Book Antiqua"/>
          <w:color w:val="000000" w:themeColor="text1"/>
          <w:sz w:val="24"/>
          <w:szCs w:val="24"/>
        </w:rPr>
        <w:fldChar w:fldCharType="begin" w:fldLock="1"/>
      </w:r>
      <w:r>
        <w:rPr>
          <w:rFonts w:ascii="Book Antiqua" w:eastAsia="Times New Roman" w:hAnsi="Book Antiqua"/>
          <w:color w:val="000000" w:themeColor="text1"/>
          <w:sz w:val="24"/>
          <w:szCs w:val="24"/>
        </w:rPr>
        <w:instrText>ADDIN CSL_CITATION {"citationItems":[{"id":"ITEM-1","itemData":{"author":[{"dropping-particle":"","family":"Kamali","given":"M. H.","non-dropping-particle":"","parse-names":false,"suffix":""}],"container-title":"Proceedings of the International Conference on Islamic Moderation, Oxford University","id":"ITEM-1","issued":{"date-parts":[["2019"]]},"page":"45-62.","title":"Wasatiyyah as a Framework for Countering Extremism.","type":"paper-conference"},"uris":["http://www.mendeley.com/documents/?uuid=8bb66a50-0306-476b-a024-f4298db7e927"]}],"mendeley":{"formattedCitation":"(Kamali, 2019)","plainTextFormattedCitation":"(Kamali, 2019)","previouslyFormattedCitation":"(Kamali, 2019)"},"properties":{"noteIndex":0},"schema":"https://github.com/citation-style-language/schema/raw/master/csl-citation.json"}</w:instrText>
      </w:r>
      <w:r>
        <w:rPr>
          <w:rStyle w:val="FootnoteReference"/>
          <w:rFonts w:ascii="Book Antiqua" w:eastAsia="Times New Roman" w:hAnsi="Book Antiqua"/>
          <w:color w:val="000000" w:themeColor="text1"/>
          <w:sz w:val="24"/>
          <w:szCs w:val="24"/>
        </w:rPr>
        <w:fldChar w:fldCharType="separate"/>
      </w:r>
      <w:r w:rsidRPr="0067708E">
        <w:rPr>
          <w:rFonts w:ascii="Book Antiqua" w:eastAsia="Times New Roman" w:hAnsi="Book Antiqua"/>
          <w:bCs/>
          <w:noProof/>
          <w:color w:val="000000" w:themeColor="text1"/>
          <w:sz w:val="24"/>
          <w:szCs w:val="24"/>
        </w:rPr>
        <w:t>(Kamali, 2019)</w:t>
      </w:r>
      <w:r>
        <w:rPr>
          <w:rStyle w:val="FootnoteReference"/>
          <w:rFonts w:ascii="Book Antiqua" w:eastAsia="Times New Roman" w:hAnsi="Book Antiqua"/>
          <w:color w:val="000000" w:themeColor="text1"/>
          <w:sz w:val="24"/>
          <w:szCs w:val="24"/>
        </w:rPr>
        <w:fldChar w:fldCharType="end"/>
      </w:r>
      <w:r w:rsidRPr="008C115A">
        <w:rPr>
          <w:rFonts w:ascii="Book Antiqua" w:eastAsia="Times New Roman" w:hAnsi="Book Antiqua"/>
          <w:color w:val="000000" w:themeColor="text1"/>
          <w:sz w:val="24"/>
          <w:szCs w:val="24"/>
        </w:rPr>
        <w:t xml:space="preserve">. </w:t>
      </w:r>
      <w:proofErr w:type="gramStart"/>
      <w:r w:rsidRPr="008C115A">
        <w:rPr>
          <w:rFonts w:ascii="Book Antiqua" w:eastAsia="Times New Roman" w:hAnsi="Book Antiqua"/>
          <w:color w:val="000000" w:themeColor="text1"/>
          <w:sz w:val="24"/>
          <w:szCs w:val="24"/>
        </w:rPr>
        <w:t>Dengan demikian, kajian terhadap QS.</w:t>
      </w:r>
      <w:proofErr w:type="gramEnd"/>
      <w:r w:rsidRPr="008C115A">
        <w:rPr>
          <w:rFonts w:ascii="Book Antiqua" w:eastAsia="Times New Roman" w:hAnsi="Book Antiqua"/>
          <w:color w:val="000000" w:themeColor="text1"/>
          <w:sz w:val="24"/>
          <w:szCs w:val="24"/>
        </w:rPr>
        <w:t xml:space="preserve"> An-Nisa' [4]:171 menjadi penting sebagai upaya menemukan landasan pendidikan Islam yang mampu mencegah </w:t>
      </w:r>
      <w:r w:rsidRPr="008C115A">
        <w:rPr>
          <w:rFonts w:ascii="Book Antiqua" w:eastAsia="Times New Roman" w:hAnsi="Book Antiqua"/>
          <w:color w:val="000000" w:themeColor="text1"/>
          <w:sz w:val="24"/>
          <w:szCs w:val="24"/>
        </w:rPr>
        <w:lastRenderedPageBreak/>
        <w:t>berkembangnya ekstremisme dan membangun sikap keberagamaan yang moderat.</w:t>
      </w:r>
    </w:p>
    <w:p w14:paraId="43B127E3" w14:textId="77777777" w:rsidR="00F943A6" w:rsidRPr="008C115A" w:rsidRDefault="00F943A6" w:rsidP="00F943A6">
      <w:pPr>
        <w:ind w:firstLine="720"/>
        <w:jc w:val="both"/>
        <w:rPr>
          <w:rFonts w:ascii="Book Antiqua" w:eastAsia="Times New Roman" w:hAnsi="Book Antiqua"/>
          <w:color w:val="000000" w:themeColor="text1"/>
          <w:sz w:val="24"/>
          <w:szCs w:val="24"/>
        </w:rPr>
      </w:pPr>
      <w:proofErr w:type="gramStart"/>
      <w:r w:rsidRPr="008C115A">
        <w:rPr>
          <w:rFonts w:ascii="Book Antiqua" w:eastAsia="Times New Roman" w:hAnsi="Book Antiqua"/>
          <w:color w:val="000000" w:themeColor="text1"/>
          <w:sz w:val="24"/>
          <w:szCs w:val="24"/>
        </w:rPr>
        <w:t>Kajian pustaka menunjukkan bahwa pembahasan mengenai ghuluw telah menjadi perhatian para ulama tafsir maupun akademisi kontemporer yang mengkaji hubungan antara agama dan ekstremisme.</w:t>
      </w:r>
      <w:proofErr w:type="gramEnd"/>
      <w:r w:rsidRPr="008C115A">
        <w:rPr>
          <w:rFonts w:ascii="Book Antiqua" w:eastAsia="Times New Roman" w:hAnsi="Book Antiqua"/>
          <w:color w:val="000000" w:themeColor="text1"/>
          <w:sz w:val="24"/>
          <w:szCs w:val="24"/>
        </w:rPr>
        <w:t xml:space="preserve"> Quraish Shihab</w:t>
      </w:r>
      <w:r>
        <w:rPr>
          <w:rFonts w:ascii="Book Antiqua" w:eastAsia="Times New Roman" w:hAnsi="Book Antiqua"/>
          <w:color w:val="000000" w:themeColor="text1"/>
          <w:sz w:val="24"/>
          <w:szCs w:val="24"/>
        </w:rPr>
        <w:t xml:space="preserve"> </w:t>
      </w:r>
      <w:r>
        <w:rPr>
          <w:rFonts w:ascii="Book Antiqua" w:eastAsia="Times New Roman" w:hAnsi="Book Antiqua"/>
          <w:color w:val="000000" w:themeColor="text1"/>
          <w:sz w:val="24"/>
          <w:szCs w:val="24"/>
        </w:rPr>
        <w:fldChar w:fldCharType="begin" w:fldLock="1"/>
      </w:r>
      <w:r>
        <w:rPr>
          <w:rFonts w:ascii="Book Antiqua" w:eastAsia="Times New Roman" w:hAnsi="Book Antiqua"/>
          <w:color w:val="000000" w:themeColor="text1"/>
          <w:sz w:val="24"/>
          <w:szCs w:val="24"/>
        </w:rPr>
        <w:instrText>ADDIN CSL_CITATION {"citationItems":[{"id":"ITEM-1","itemData":{"author":[{"dropping-particle":"","family":"Shihab","given":"M. Quraish.","non-dropping-particle":"","parse-names":false,"suffix":""}],"id":"ITEM-1","issued":{"date-parts":[["2002"]]},"publisher":"Lentera Hati","publisher-place":"Jakarta","title":"Tafsir Al-Misbah: Pesan, Kesan dan Keserasian Al-Qur'an.","type":"book"},"uris":["http://www.mendeley.com/documents/?uuid=6df74eb3-82ad-4bae-be61-54eb1c2b57dc"]}],"mendeley":{"formattedCitation":"(Shihab, 2002)","plainTextFormattedCitation":"(Shihab, 2002)","previouslyFormattedCitation":"(Shihab, 2002)"},"properties":{"noteIndex":0},"schema":"https://github.com/citation-style-language/schema/raw/master/csl-citation.json"}</w:instrText>
      </w:r>
      <w:r>
        <w:rPr>
          <w:rFonts w:ascii="Book Antiqua" w:eastAsia="Times New Roman" w:hAnsi="Book Antiqua"/>
          <w:color w:val="000000" w:themeColor="text1"/>
          <w:sz w:val="24"/>
          <w:szCs w:val="24"/>
        </w:rPr>
        <w:fldChar w:fldCharType="separate"/>
      </w:r>
      <w:r w:rsidRPr="002446B8">
        <w:rPr>
          <w:rFonts w:ascii="Book Antiqua" w:eastAsia="Times New Roman" w:hAnsi="Book Antiqua"/>
          <w:noProof/>
          <w:color w:val="000000" w:themeColor="text1"/>
          <w:sz w:val="24"/>
          <w:szCs w:val="24"/>
        </w:rPr>
        <w:t>(Shihab, 2002)</w:t>
      </w:r>
      <w:r>
        <w:rPr>
          <w:rFonts w:ascii="Book Antiqua" w:eastAsia="Times New Roman" w:hAnsi="Book Antiqua"/>
          <w:color w:val="000000" w:themeColor="text1"/>
          <w:sz w:val="24"/>
          <w:szCs w:val="24"/>
        </w:rPr>
        <w:fldChar w:fldCharType="end"/>
      </w:r>
      <w:r w:rsidRPr="008C115A">
        <w:rPr>
          <w:rFonts w:ascii="Book Antiqua" w:eastAsia="Times New Roman" w:hAnsi="Book Antiqua"/>
          <w:color w:val="000000" w:themeColor="text1"/>
          <w:sz w:val="24"/>
          <w:szCs w:val="24"/>
        </w:rPr>
        <w:t xml:space="preserve"> menjelaskan bahwa larangan ghuluw dalam QS. An-Nisa' [4]:171 merupakan bentuk peringatan agar manusia tidak melampaui batas dalam memahami maupun mengamalkan agama. Penelitian Kamali </w:t>
      </w:r>
      <w:r>
        <w:rPr>
          <w:rFonts w:ascii="Book Antiqua" w:eastAsia="Times New Roman" w:hAnsi="Book Antiqua"/>
          <w:color w:val="000000" w:themeColor="text1"/>
          <w:sz w:val="24"/>
          <w:szCs w:val="24"/>
        </w:rPr>
        <w:fldChar w:fldCharType="begin" w:fldLock="1"/>
      </w:r>
      <w:r>
        <w:rPr>
          <w:rFonts w:ascii="Book Antiqua" w:eastAsia="Times New Roman" w:hAnsi="Book Antiqua"/>
          <w:color w:val="000000" w:themeColor="text1"/>
          <w:sz w:val="24"/>
          <w:szCs w:val="24"/>
        </w:rPr>
        <w:instrText>ADDIN CSL_CITATION {"citationItems":[{"id":"ITEM-1","itemData":{"author":[{"dropping-particle":"","family":"Kamali","given":"M. H.","non-dropping-particle":"","parse-names":false,"suffix":""}],"container-title":"Proceedings of the International Conference on Islamic Moderation, Oxford University","id":"ITEM-1","issued":{"date-parts":[["2019"]]},"page":"45-62.","title":"Wasatiyyah as a Framework for Countering Extremism.","type":"paper-conference"},"uris":["http://www.mendeley.com/documents/?uuid=8bb66a50-0306-476b-a024-f4298db7e927"]}],"mendeley":{"formattedCitation":"(Kamali, 2019)","plainTextFormattedCitation":"(Kamali, 2019)","previouslyFormattedCitation":"(Kamali, 2019)"},"properties":{"noteIndex":0},"schema":"https://github.com/citation-style-language/schema/raw/master/csl-citation.json"}</w:instrText>
      </w:r>
      <w:r>
        <w:rPr>
          <w:rFonts w:ascii="Book Antiqua" w:eastAsia="Times New Roman" w:hAnsi="Book Antiqua"/>
          <w:color w:val="000000" w:themeColor="text1"/>
          <w:sz w:val="24"/>
          <w:szCs w:val="24"/>
        </w:rPr>
        <w:fldChar w:fldCharType="separate"/>
      </w:r>
      <w:r w:rsidRPr="0075167E">
        <w:rPr>
          <w:rFonts w:ascii="Book Antiqua" w:eastAsia="Times New Roman" w:hAnsi="Book Antiqua"/>
          <w:noProof/>
          <w:color w:val="000000" w:themeColor="text1"/>
          <w:sz w:val="24"/>
          <w:szCs w:val="24"/>
        </w:rPr>
        <w:t>(Kamali, 2019)</w:t>
      </w:r>
      <w:r>
        <w:rPr>
          <w:rFonts w:ascii="Book Antiqua" w:eastAsia="Times New Roman" w:hAnsi="Book Antiqua"/>
          <w:color w:val="000000" w:themeColor="text1"/>
          <w:sz w:val="24"/>
          <w:szCs w:val="24"/>
        </w:rPr>
        <w:fldChar w:fldCharType="end"/>
      </w:r>
      <w:r>
        <w:rPr>
          <w:rFonts w:ascii="Book Antiqua" w:eastAsia="Times New Roman" w:hAnsi="Book Antiqua"/>
          <w:color w:val="000000" w:themeColor="text1"/>
          <w:sz w:val="24"/>
          <w:szCs w:val="24"/>
        </w:rPr>
        <w:t xml:space="preserve"> </w:t>
      </w:r>
      <w:r w:rsidRPr="008C115A">
        <w:rPr>
          <w:rFonts w:ascii="Book Antiqua" w:eastAsia="Times New Roman" w:hAnsi="Book Antiqua"/>
          <w:color w:val="000000" w:themeColor="text1"/>
          <w:sz w:val="24"/>
          <w:szCs w:val="24"/>
        </w:rPr>
        <w:t xml:space="preserve">mengenai wasathiyyah menunjukkan bahwa moderasi merupakan karakteristik utama Islam yang berfungsi menjaga keseimbangan antara tekstualitas dan kontekstualitas dalam memahami ajaran agama. </w:t>
      </w:r>
    </w:p>
    <w:p w14:paraId="7E540A93" w14:textId="77777777" w:rsidR="00F943A6" w:rsidRPr="008C115A" w:rsidRDefault="00F943A6" w:rsidP="00F943A6">
      <w:pPr>
        <w:ind w:firstLine="720"/>
        <w:jc w:val="both"/>
        <w:rPr>
          <w:rFonts w:ascii="Book Antiqua" w:eastAsia="Times New Roman" w:hAnsi="Book Antiqua"/>
          <w:color w:val="000000" w:themeColor="text1"/>
          <w:sz w:val="24"/>
          <w:szCs w:val="24"/>
        </w:rPr>
      </w:pPr>
      <w:proofErr w:type="gramStart"/>
      <w:r w:rsidRPr="008C115A">
        <w:rPr>
          <w:rFonts w:ascii="Book Antiqua" w:eastAsia="Times New Roman" w:hAnsi="Book Antiqua"/>
          <w:color w:val="000000" w:themeColor="text1"/>
          <w:sz w:val="24"/>
          <w:szCs w:val="24"/>
        </w:rPr>
        <w:t>Penelitian ini bertujuan untuk merumuskan konsep anti-ekstremisme dalam QS.</w:t>
      </w:r>
      <w:proofErr w:type="gramEnd"/>
      <w:r w:rsidRPr="008C115A">
        <w:rPr>
          <w:rFonts w:ascii="Book Antiqua" w:eastAsia="Times New Roman" w:hAnsi="Book Antiqua"/>
          <w:color w:val="000000" w:themeColor="text1"/>
          <w:sz w:val="24"/>
          <w:szCs w:val="24"/>
        </w:rPr>
        <w:t xml:space="preserve"> An-Nisa' [4]:171 serta menganalisis relevansinya terhadap pendidikan Islam kontemporer melalui pendekatan tafsir tarbawi. </w:t>
      </w:r>
      <w:proofErr w:type="gramStart"/>
      <w:r w:rsidRPr="008C115A">
        <w:rPr>
          <w:rFonts w:ascii="Book Antiqua" w:eastAsia="Times New Roman" w:hAnsi="Book Antiqua"/>
          <w:color w:val="000000" w:themeColor="text1"/>
          <w:sz w:val="24"/>
          <w:szCs w:val="24"/>
        </w:rPr>
        <w:t>Tujuan ini didasarkan pada kebutuhan untuk membangun paradigma pendidikan yang tidak hanya menanamkan pemahaman agama secara normatif, tetapi juga membentuk karakter moderat dan toleran dalam kehidupan sosial.</w:t>
      </w:r>
      <w:proofErr w:type="gramEnd"/>
      <w:r w:rsidRPr="008C115A">
        <w:rPr>
          <w:rFonts w:ascii="Book Antiqua" w:eastAsia="Times New Roman" w:hAnsi="Book Antiqua"/>
          <w:color w:val="000000" w:themeColor="text1"/>
          <w:sz w:val="24"/>
          <w:szCs w:val="24"/>
        </w:rPr>
        <w:t xml:space="preserve"> Menurut A</w:t>
      </w:r>
      <w:r>
        <w:rPr>
          <w:rFonts w:ascii="Book Antiqua" w:eastAsia="Times New Roman" w:hAnsi="Book Antiqua"/>
          <w:color w:val="000000" w:themeColor="text1"/>
          <w:sz w:val="24"/>
          <w:szCs w:val="24"/>
        </w:rPr>
        <w:t xml:space="preserve">l-Syaibani </w:t>
      </w:r>
      <w:r>
        <w:rPr>
          <w:rFonts w:ascii="Book Antiqua" w:eastAsia="Times New Roman" w:hAnsi="Book Antiqua"/>
          <w:color w:val="000000" w:themeColor="text1"/>
          <w:sz w:val="24"/>
          <w:szCs w:val="24"/>
        </w:rPr>
        <w:fldChar w:fldCharType="begin" w:fldLock="1"/>
      </w:r>
      <w:r>
        <w:rPr>
          <w:rFonts w:ascii="Book Antiqua" w:eastAsia="Times New Roman" w:hAnsi="Book Antiqua"/>
          <w:color w:val="000000" w:themeColor="text1"/>
          <w:sz w:val="24"/>
          <w:szCs w:val="24"/>
        </w:rPr>
        <w:instrText>ADDIN CSL_CITATION {"citationItems":[{"id":"ITEM-1","itemData":{"author":[{"dropping-particle":"","family":"Al-Syaibani","given":"Omar Mohammad Al-Toumy.","non-dropping-particle":"","parse-names":false,"suffix":""}],"id":"ITEM-1","issued":{"date-parts":[["1979"]]},"publisher":"Bulan Bintang.","publisher-place":"Jakarta","title":"Falsafah Pendidikan Islam.","type":"book"},"uris":["http://www.mendeley.com/documents/?uuid=7c22a196-40f7-47ef-b8c3-0b9b8a5d5279"]}],"mendeley":{"formattedCitation":"(Al-Syaibani, 1979)","plainTextFormattedCitation":"(Al-Syaibani, 1979)","previouslyFormattedCitation":"(Al-Syaibani, 1979)"},"properties":{"noteIndex":0},"schema":"https://github.com/citation-style-language/schema/raw/master/csl-citation.json"}</w:instrText>
      </w:r>
      <w:r>
        <w:rPr>
          <w:rFonts w:ascii="Book Antiqua" w:eastAsia="Times New Roman" w:hAnsi="Book Antiqua"/>
          <w:color w:val="000000" w:themeColor="text1"/>
          <w:sz w:val="24"/>
          <w:szCs w:val="24"/>
        </w:rPr>
        <w:fldChar w:fldCharType="separate"/>
      </w:r>
      <w:r w:rsidRPr="005036BC">
        <w:rPr>
          <w:rFonts w:ascii="Book Antiqua" w:eastAsia="Times New Roman" w:hAnsi="Book Antiqua"/>
          <w:noProof/>
          <w:color w:val="000000" w:themeColor="text1"/>
          <w:sz w:val="24"/>
          <w:szCs w:val="24"/>
        </w:rPr>
        <w:t>(Al-Syaibani, 1979)</w:t>
      </w:r>
      <w:r>
        <w:rPr>
          <w:rFonts w:ascii="Book Antiqua" w:eastAsia="Times New Roman" w:hAnsi="Book Antiqua"/>
          <w:color w:val="000000" w:themeColor="text1"/>
          <w:sz w:val="24"/>
          <w:szCs w:val="24"/>
        </w:rPr>
        <w:fldChar w:fldCharType="end"/>
      </w:r>
      <w:r w:rsidRPr="008C115A">
        <w:rPr>
          <w:rFonts w:ascii="Book Antiqua" w:eastAsia="Times New Roman" w:hAnsi="Book Antiqua"/>
          <w:color w:val="000000" w:themeColor="text1"/>
          <w:sz w:val="24"/>
          <w:szCs w:val="24"/>
        </w:rPr>
        <w:t xml:space="preserve">, pendidikan Islam harus mampu membentuk manusia yang seimbang antara aspek spiritual, intelektual, dan sosial sehingga terhindar dari sikap ekstrem dalam berbagai dimensi kehidupan. Ramayulis </w:t>
      </w:r>
      <w:r>
        <w:rPr>
          <w:rFonts w:ascii="Book Antiqua" w:eastAsia="Times New Roman" w:hAnsi="Book Antiqua"/>
          <w:color w:val="000000" w:themeColor="text1"/>
          <w:sz w:val="24"/>
          <w:szCs w:val="24"/>
        </w:rPr>
        <w:fldChar w:fldCharType="begin" w:fldLock="1"/>
      </w:r>
      <w:r>
        <w:rPr>
          <w:rFonts w:ascii="Book Antiqua" w:eastAsia="Times New Roman" w:hAnsi="Book Antiqua"/>
          <w:color w:val="000000" w:themeColor="text1"/>
          <w:sz w:val="24"/>
          <w:szCs w:val="24"/>
        </w:rPr>
        <w:instrText>ADDIN CSL_CITATION {"citationItems":[{"id":"ITEM-1","itemData":{"author":[{"dropping-particle":"","family":"Ramayulis","given":"","non-dropping-particle":"","parse-names":false,"suffix":""}],"id":"ITEM-1","issued":{"date-parts":[["2015"]]},"publisher":"Kalam Mulia","publisher-place":"Jakarta","title":"Ilmu Pendidikan Islam.","type":"book"},"uris":["http://www.mendeley.com/documents/?uuid=4f4db9b9-1193-4340-9e44-902e2bd36214"]}],"mendeley":{"formattedCitation":"(Ramayulis, 2015)","plainTextFormattedCitation":"(Ramayulis, 2015)","previouslyFormattedCitation":"(Ramayulis, 2015)"},"properties":{"noteIndex":0},"schema":"https://github.com/citation-style-language/schema/raw/master/csl-citation.json"}</w:instrText>
      </w:r>
      <w:r>
        <w:rPr>
          <w:rFonts w:ascii="Book Antiqua" w:eastAsia="Times New Roman" w:hAnsi="Book Antiqua"/>
          <w:color w:val="000000" w:themeColor="text1"/>
          <w:sz w:val="24"/>
          <w:szCs w:val="24"/>
        </w:rPr>
        <w:fldChar w:fldCharType="separate"/>
      </w:r>
      <w:r w:rsidRPr="005036BC">
        <w:rPr>
          <w:rFonts w:ascii="Book Antiqua" w:eastAsia="Times New Roman" w:hAnsi="Book Antiqua"/>
          <w:noProof/>
          <w:color w:val="000000" w:themeColor="text1"/>
          <w:sz w:val="24"/>
          <w:szCs w:val="24"/>
        </w:rPr>
        <w:t>(Ramayulis, 2015)</w:t>
      </w:r>
      <w:r>
        <w:rPr>
          <w:rFonts w:ascii="Book Antiqua" w:eastAsia="Times New Roman" w:hAnsi="Book Antiqua"/>
          <w:color w:val="000000" w:themeColor="text1"/>
          <w:sz w:val="24"/>
          <w:szCs w:val="24"/>
        </w:rPr>
        <w:fldChar w:fldCharType="end"/>
      </w:r>
      <w:r w:rsidRPr="008C115A">
        <w:rPr>
          <w:rFonts w:ascii="Book Antiqua" w:eastAsia="Times New Roman" w:hAnsi="Book Antiqua"/>
          <w:color w:val="000000" w:themeColor="text1"/>
          <w:sz w:val="24"/>
          <w:szCs w:val="24"/>
        </w:rPr>
        <w:t xml:space="preserve"> juga menjelaskan bahwa tujuan pendidikan Islam tidak hanya mencetak individu yang saleh secara personal, tetapi juga individu yang mampu hidup harmonis dalam masyarakat yang beragam. </w:t>
      </w:r>
      <w:proofErr w:type="gramStart"/>
      <w:r w:rsidRPr="008C115A">
        <w:rPr>
          <w:rFonts w:ascii="Book Antiqua" w:eastAsia="Times New Roman" w:hAnsi="Book Antiqua"/>
          <w:color w:val="000000" w:themeColor="text1"/>
          <w:sz w:val="24"/>
          <w:szCs w:val="24"/>
        </w:rPr>
        <w:t>Sebagai contoh, berbagai program moderasi beragama yang dikembangkan lembaga pendidikan Islam saat ini menunjukkan pentingnya integrasi nilai-nilai anti-ekstremisme dalam kurikulum pendidikan.</w:t>
      </w:r>
      <w:proofErr w:type="gramEnd"/>
      <w:r w:rsidRPr="008C115A">
        <w:rPr>
          <w:rFonts w:ascii="Book Antiqua" w:eastAsia="Times New Roman" w:hAnsi="Book Antiqua"/>
          <w:color w:val="000000" w:themeColor="text1"/>
          <w:sz w:val="24"/>
          <w:szCs w:val="24"/>
        </w:rPr>
        <w:t xml:space="preserve"> </w:t>
      </w:r>
      <w:proofErr w:type="gramStart"/>
      <w:r w:rsidRPr="008C115A">
        <w:rPr>
          <w:rFonts w:ascii="Book Antiqua" w:eastAsia="Times New Roman" w:hAnsi="Book Antiqua"/>
          <w:color w:val="000000" w:themeColor="text1"/>
          <w:sz w:val="24"/>
          <w:szCs w:val="24"/>
        </w:rPr>
        <w:t>Oleh karena itu, penelitian ini diharapkan mampu memberikan kontribusi teoritis maupun praktis dalam pengembangan pendidikan Islam berbasis moderasi.</w:t>
      </w:r>
      <w:proofErr w:type="gramEnd"/>
    </w:p>
    <w:p w14:paraId="7926A4CE" w14:textId="77777777" w:rsidR="00F943A6" w:rsidRDefault="00F943A6" w:rsidP="00F943A6">
      <w:pPr>
        <w:ind w:firstLine="720"/>
        <w:jc w:val="both"/>
        <w:rPr>
          <w:rFonts w:ascii="Book Antiqua" w:eastAsia="Times New Roman" w:hAnsi="Book Antiqua"/>
          <w:color w:val="000000" w:themeColor="text1"/>
          <w:sz w:val="24"/>
          <w:szCs w:val="24"/>
        </w:rPr>
      </w:pPr>
      <w:proofErr w:type="gramStart"/>
      <w:r w:rsidRPr="008C115A">
        <w:rPr>
          <w:rFonts w:ascii="Book Antiqua" w:eastAsia="Times New Roman" w:hAnsi="Book Antiqua"/>
          <w:color w:val="000000" w:themeColor="text1"/>
          <w:sz w:val="24"/>
          <w:szCs w:val="24"/>
        </w:rPr>
        <w:t>Hasil penelitian mengindikasikan bahwa QS.</w:t>
      </w:r>
      <w:proofErr w:type="gramEnd"/>
      <w:r w:rsidRPr="008C115A">
        <w:rPr>
          <w:rFonts w:ascii="Book Antiqua" w:eastAsia="Times New Roman" w:hAnsi="Book Antiqua"/>
          <w:color w:val="000000" w:themeColor="text1"/>
          <w:sz w:val="24"/>
          <w:szCs w:val="24"/>
        </w:rPr>
        <w:t xml:space="preserve"> An-Nisa' [4]:171 mengandung konsep pendidikan anti-ekstremisme yang sangat relevan dalam menghadapi tantangan keberagamaan kontemporer. </w:t>
      </w:r>
      <w:proofErr w:type="gramStart"/>
      <w:r w:rsidRPr="008C115A">
        <w:rPr>
          <w:rFonts w:ascii="Book Antiqua" w:eastAsia="Times New Roman" w:hAnsi="Book Antiqua"/>
          <w:color w:val="000000" w:themeColor="text1"/>
          <w:sz w:val="24"/>
          <w:szCs w:val="24"/>
        </w:rPr>
        <w:t>Larangan ghuluw yang terkandung dalam ayat tersebut tidak hanya ditujukan kepada komunitas tertentu pada masa turunnya Al-Qur'an, tetapi juga memiliki pesan universal bagi seluruh umat manusia agar menghindari sikap berlebihan dalam beragama.</w:t>
      </w:r>
      <w:proofErr w:type="gramEnd"/>
      <w:r w:rsidRPr="008C115A">
        <w:rPr>
          <w:rFonts w:ascii="Book Antiqua" w:eastAsia="Times New Roman" w:hAnsi="Book Antiqua"/>
          <w:color w:val="000000" w:themeColor="text1"/>
          <w:sz w:val="24"/>
          <w:szCs w:val="24"/>
        </w:rPr>
        <w:t xml:space="preserve"> Quraish Shihab </w:t>
      </w:r>
      <w:r>
        <w:rPr>
          <w:rFonts w:ascii="Book Antiqua" w:eastAsia="Times New Roman" w:hAnsi="Book Antiqua"/>
          <w:color w:val="000000" w:themeColor="text1"/>
          <w:sz w:val="24"/>
          <w:szCs w:val="24"/>
        </w:rPr>
        <w:fldChar w:fldCharType="begin" w:fldLock="1"/>
      </w:r>
      <w:r>
        <w:rPr>
          <w:rFonts w:ascii="Book Antiqua" w:eastAsia="Times New Roman" w:hAnsi="Book Antiqua"/>
          <w:color w:val="000000" w:themeColor="text1"/>
          <w:sz w:val="24"/>
          <w:szCs w:val="24"/>
        </w:rPr>
        <w:instrText>ADDIN CSL_CITATION {"citationItems":[{"id":"ITEM-1","itemData":{"author":[{"dropping-particle":"","family":"Shihab","given":"M. Quraish.","non-dropping-particle":"","parse-names":false,"suffix":""}],"id":"ITEM-1","issued":{"date-parts":[["2002"]]},"publisher":"Lentera Hati","publisher-place":"Jakarta","title":"Tafsir Al-Misbah: Pesan, Kesan dan Keserasian Al-Qur'an.","type":"book"},"uris":["http://www.mendeley.com/documents/?uuid=6df74eb3-82ad-4bae-be61-54eb1c2b57dc"]}],"mendeley":{"formattedCitation":"(Shihab, 2002)","plainTextFormattedCitation":"(Shihab, 2002)","previouslyFormattedCitation":"(Shihab, 2002)"},"properties":{"noteIndex":0},"schema":"https://github.com/citation-style-language/schema/raw/master/csl-citation.json"}</w:instrText>
      </w:r>
      <w:r>
        <w:rPr>
          <w:rFonts w:ascii="Book Antiqua" w:eastAsia="Times New Roman" w:hAnsi="Book Antiqua"/>
          <w:color w:val="000000" w:themeColor="text1"/>
          <w:sz w:val="24"/>
          <w:szCs w:val="24"/>
        </w:rPr>
        <w:fldChar w:fldCharType="separate"/>
      </w:r>
      <w:r w:rsidRPr="002446B8">
        <w:rPr>
          <w:rFonts w:ascii="Book Antiqua" w:eastAsia="Times New Roman" w:hAnsi="Book Antiqua"/>
          <w:noProof/>
          <w:color w:val="000000" w:themeColor="text1"/>
          <w:sz w:val="24"/>
          <w:szCs w:val="24"/>
        </w:rPr>
        <w:t>(Shihab, 2002)</w:t>
      </w:r>
      <w:r>
        <w:rPr>
          <w:rFonts w:ascii="Book Antiqua" w:eastAsia="Times New Roman" w:hAnsi="Book Antiqua"/>
          <w:color w:val="000000" w:themeColor="text1"/>
          <w:sz w:val="24"/>
          <w:szCs w:val="24"/>
        </w:rPr>
        <w:fldChar w:fldCharType="end"/>
      </w:r>
      <w:r w:rsidRPr="008C115A">
        <w:rPr>
          <w:rFonts w:ascii="Book Antiqua" w:eastAsia="Times New Roman" w:hAnsi="Book Antiqua"/>
          <w:color w:val="000000" w:themeColor="text1"/>
          <w:sz w:val="24"/>
          <w:szCs w:val="24"/>
        </w:rPr>
        <w:t xml:space="preserve"> menjelaskan bahwa ghuluw merupakan bentuk penyimpangan yang dapat menghilangkan objektivitas dalam memahami agama dan menyebabkan munculnya konflik sosial. Kamali </w:t>
      </w:r>
      <w:r>
        <w:rPr>
          <w:rFonts w:ascii="Book Antiqua" w:eastAsia="Times New Roman" w:hAnsi="Book Antiqua"/>
          <w:color w:val="000000" w:themeColor="text1"/>
          <w:sz w:val="24"/>
          <w:szCs w:val="24"/>
        </w:rPr>
        <w:fldChar w:fldCharType="begin" w:fldLock="1"/>
      </w:r>
      <w:r>
        <w:rPr>
          <w:rFonts w:ascii="Book Antiqua" w:eastAsia="Times New Roman" w:hAnsi="Book Antiqua"/>
          <w:color w:val="000000" w:themeColor="text1"/>
          <w:sz w:val="24"/>
          <w:szCs w:val="24"/>
        </w:rPr>
        <w:instrText>ADDIN CSL_CITATION {"citationItems":[{"id":"ITEM-1","itemData":{"author":[{"dropping-particle":"","family":"Kamali","given":"M. H.","non-dropping-particle":"","parse-names":false,"suffix":""}],"container-title":"Proceedings of the International Conference on Islamic Moderation, Oxford University","id":"ITEM-1","issued":{"date-parts":[["2019"]]},"page":"45-62.","title":"Wasatiyyah as a Framework for Countering Extremism.","type":"paper-conference"},"uris":["http://www.mendeley.com/documents/?uuid=8bb66a50-0306-476b-a024-f4298db7e927"]}],"mendeley":{"formattedCitation":"(Kamali, 2019)","plainTextFormattedCitation":"(Kamali, 2019)","previouslyFormattedCitation":"(Kamali, 2019)"},"properties":{"noteIndex":0},"schema":"https://github.com/citation-style-language/schema/raw/master/csl-citation.json"}</w:instrText>
      </w:r>
      <w:r>
        <w:rPr>
          <w:rFonts w:ascii="Book Antiqua" w:eastAsia="Times New Roman" w:hAnsi="Book Antiqua"/>
          <w:color w:val="000000" w:themeColor="text1"/>
          <w:sz w:val="24"/>
          <w:szCs w:val="24"/>
        </w:rPr>
        <w:fldChar w:fldCharType="separate"/>
      </w:r>
      <w:r w:rsidRPr="005036BC">
        <w:rPr>
          <w:rFonts w:ascii="Book Antiqua" w:eastAsia="Times New Roman" w:hAnsi="Book Antiqua"/>
          <w:noProof/>
          <w:color w:val="000000" w:themeColor="text1"/>
          <w:sz w:val="24"/>
          <w:szCs w:val="24"/>
        </w:rPr>
        <w:t>(Kamali, 2019)</w:t>
      </w:r>
      <w:r>
        <w:rPr>
          <w:rFonts w:ascii="Book Antiqua" w:eastAsia="Times New Roman" w:hAnsi="Book Antiqua"/>
          <w:color w:val="000000" w:themeColor="text1"/>
          <w:sz w:val="24"/>
          <w:szCs w:val="24"/>
        </w:rPr>
        <w:fldChar w:fldCharType="end"/>
      </w:r>
      <w:r>
        <w:rPr>
          <w:rFonts w:ascii="Book Antiqua" w:eastAsia="Times New Roman" w:hAnsi="Book Antiqua"/>
          <w:color w:val="000000" w:themeColor="text1"/>
          <w:sz w:val="24"/>
          <w:szCs w:val="24"/>
        </w:rPr>
        <w:t xml:space="preserve"> </w:t>
      </w:r>
      <w:r w:rsidRPr="008C115A">
        <w:rPr>
          <w:rFonts w:ascii="Book Antiqua" w:eastAsia="Times New Roman" w:hAnsi="Book Antiqua"/>
          <w:color w:val="000000" w:themeColor="text1"/>
          <w:sz w:val="24"/>
          <w:szCs w:val="24"/>
        </w:rPr>
        <w:t xml:space="preserve">menegaskan bahwa moderasi merupakan antitesis dari ekstremisme karena mendorong keseimbangan antara keyakinan, praktik keagamaan, dan hubungan sosial. Contoh nyata dapat dilihat dari keberhasilan berbagai lembaga pendidikan Islam yang mengintegrasikan nilai moderasi dalam proses pembelajaran sehingga mampu mengurangi kecenderungan radikalisme di kalangan peserta didik. </w:t>
      </w:r>
      <w:proofErr w:type="gramStart"/>
      <w:r w:rsidRPr="008C115A">
        <w:rPr>
          <w:rFonts w:ascii="Book Antiqua" w:eastAsia="Times New Roman" w:hAnsi="Book Antiqua"/>
          <w:color w:val="000000" w:themeColor="text1"/>
          <w:sz w:val="24"/>
          <w:szCs w:val="24"/>
        </w:rPr>
        <w:t>Dengan demikian, QS.</w:t>
      </w:r>
      <w:proofErr w:type="gramEnd"/>
      <w:r w:rsidRPr="008C115A">
        <w:rPr>
          <w:rFonts w:ascii="Book Antiqua" w:eastAsia="Times New Roman" w:hAnsi="Book Antiqua"/>
          <w:color w:val="000000" w:themeColor="text1"/>
          <w:sz w:val="24"/>
          <w:szCs w:val="24"/>
        </w:rPr>
        <w:t xml:space="preserve"> An-Nisa' [4]:171 dapat dipahami sebagai fondasi konseptual pendidikan anti-ekstremisme yang sangat relevan dengan kebutuhan masyarakat modern.</w:t>
      </w:r>
    </w:p>
    <w:p w14:paraId="2A36CA57" w14:textId="3AF9DB1E" w:rsidR="00F943A6" w:rsidRDefault="00F943A6" w:rsidP="007178FE">
      <w:pPr>
        <w:spacing w:line="213" w:lineRule="auto"/>
        <w:ind w:left="2"/>
        <w:rPr>
          <w:rFonts w:ascii="Book Antiqua" w:hAnsi="Book Antiqua"/>
        </w:rPr>
      </w:pPr>
      <w:r>
        <w:rPr>
          <w:rFonts w:ascii="Book Antiqua" w:hAnsi="Book Antiqua"/>
        </w:rPr>
        <w:br w:type="page"/>
      </w:r>
    </w:p>
    <w:p w14:paraId="1E57D1C9" w14:textId="77777777" w:rsidR="007178FE" w:rsidRDefault="007178FE" w:rsidP="007178FE">
      <w:pPr>
        <w:spacing w:line="213" w:lineRule="auto"/>
        <w:ind w:left="2"/>
        <w:rPr>
          <w:rFonts w:ascii="Book Antiqua" w:hAnsi="Book Antiqua"/>
        </w:rPr>
      </w:pPr>
    </w:p>
    <w:p w14:paraId="1978991C" w14:textId="32283E51" w:rsidR="007178FE" w:rsidRPr="007178FE" w:rsidRDefault="00281E15" w:rsidP="007178FE">
      <w:pPr>
        <w:spacing w:line="213" w:lineRule="auto"/>
        <w:ind w:left="2"/>
        <w:rPr>
          <w:rFonts w:ascii="Book Antiqua" w:hAnsi="Book Antiqua"/>
          <w:i/>
          <w:sz w:val="24"/>
        </w:rPr>
      </w:pPr>
      <w:r w:rsidRPr="007178FE">
        <w:rPr>
          <w:rFonts w:ascii="Book Antiqua" w:hAnsi="Book Antiqua"/>
          <w:b/>
          <w:bCs/>
          <w:sz w:val="24"/>
          <w:szCs w:val="24"/>
        </w:rPr>
        <w:t>METODE</w:t>
      </w:r>
      <w:r w:rsidRPr="007178FE">
        <w:rPr>
          <w:rFonts w:ascii="Book Antiqua" w:hAnsi="Book Antiqua"/>
          <w:b/>
          <w:bCs/>
          <w:spacing w:val="-1"/>
          <w:sz w:val="24"/>
          <w:szCs w:val="24"/>
        </w:rPr>
        <w:t xml:space="preserve"> </w:t>
      </w:r>
      <w:r w:rsidRPr="007178FE">
        <w:rPr>
          <w:rFonts w:ascii="Book Antiqua" w:hAnsi="Book Antiqua"/>
          <w:b/>
          <w:bCs/>
          <w:spacing w:val="-2"/>
          <w:sz w:val="24"/>
          <w:szCs w:val="24"/>
        </w:rPr>
        <w:t>PENELITIAN</w:t>
      </w:r>
      <w:r w:rsidR="007178FE">
        <w:rPr>
          <w:rFonts w:ascii="Book Antiqua" w:hAnsi="Book Antiqua"/>
          <w:b/>
          <w:bCs/>
          <w:spacing w:val="-2"/>
          <w:sz w:val="24"/>
          <w:szCs w:val="24"/>
        </w:rPr>
        <w:t xml:space="preserve"> </w:t>
      </w:r>
    </w:p>
    <w:p w14:paraId="14C0EF8D" w14:textId="42968789" w:rsidR="006C2D77" w:rsidRPr="007178FE" w:rsidRDefault="006C2D77" w:rsidP="007178FE">
      <w:pPr>
        <w:spacing w:line="213" w:lineRule="auto"/>
        <w:ind w:left="2"/>
        <w:rPr>
          <w:rFonts w:ascii="Book Antiqua" w:hAnsi="Book Antiqua"/>
          <w:b/>
          <w:bCs/>
          <w:sz w:val="24"/>
          <w:szCs w:val="24"/>
        </w:rPr>
      </w:pPr>
    </w:p>
    <w:p w14:paraId="6ABF0F1B" w14:textId="746B6700" w:rsidR="00F943A6" w:rsidRPr="008C115A" w:rsidRDefault="00F943A6" w:rsidP="00F943A6">
      <w:pPr>
        <w:ind w:firstLine="720"/>
        <w:jc w:val="both"/>
        <w:rPr>
          <w:rFonts w:ascii="Book Antiqua" w:hAnsi="Book Antiqua"/>
          <w:color w:val="000000" w:themeColor="text1"/>
          <w:sz w:val="24"/>
          <w:szCs w:val="24"/>
        </w:rPr>
      </w:pPr>
      <w:proofErr w:type="gramStart"/>
      <w:r w:rsidRPr="008C115A">
        <w:rPr>
          <w:rFonts w:ascii="Book Antiqua" w:hAnsi="Book Antiqua"/>
          <w:color w:val="000000" w:themeColor="text1"/>
          <w:sz w:val="24"/>
          <w:szCs w:val="24"/>
        </w:rPr>
        <w:t>Penelitian ini menggunakan pendekatan kualitatif dengan jenis library research (penelitian kepustakaan).</w:t>
      </w:r>
      <w:proofErr w:type="gramEnd"/>
      <w:r w:rsidRPr="008C115A">
        <w:rPr>
          <w:rFonts w:ascii="Book Antiqua" w:hAnsi="Book Antiqua"/>
          <w:color w:val="000000" w:themeColor="text1"/>
          <w:sz w:val="24"/>
          <w:szCs w:val="24"/>
        </w:rPr>
        <w:t xml:space="preserve"> </w:t>
      </w:r>
      <w:proofErr w:type="gramStart"/>
      <w:r w:rsidRPr="008C115A">
        <w:rPr>
          <w:rFonts w:ascii="Book Antiqua" w:hAnsi="Book Antiqua"/>
          <w:color w:val="000000" w:themeColor="text1"/>
          <w:sz w:val="24"/>
          <w:szCs w:val="24"/>
        </w:rPr>
        <w:t>Penelitian kepustakaan merupakan penelitian yang menjadikan berbagai sumber tertulis sebagai sumber utama dalam memperoleh data dan menjawab permasalahan penelitian.</w:t>
      </w:r>
      <w:proofErr w:type="gramEnd"/>
      <w:r w:rsidRPr="008C115A">
        <w:rPr>
          <w:rFonts w:ascii="Book Antiqua" w:hAnsi="Book Antiqua"/>
          <w:color w:val="000000" w:themeColor="text1"/>
          <w:sz w:val="24"/>
          <w:szCs w:val="24"/>
        </w:rPr>
        <w:t xml:space="preserve"> Menurut </w:t>
      </w:r>
      <w:r>
        <w:rPr>
          <w:rFonts w:ascii="Book Antiqua" w:hAnsi="Book Antiqua"/>
          <w:color w:val="000000" w:themeColor="text1"/>
          <w:sz w:val="24"/>
          <w:szCs w:val="24"/>
        </w:rPr>
        <w:t>Nazir</w:t>
      </w:r>
      <w:r w:rsidRPr="008C115A">
        <w:rPr>
          <w:rFonts w:ascii="Book Antiqua" w:hAnsi="Book Antiqua"/>
          <w:color w:val="000000" w:themeColor="text1"/>
          <w:sz w:val="24"/>
          <w:szCs w:val="24"/>
        </w:rPr>
        <w:t xml:space="preserve"> </w:t>
      </w:r>
      <w:r>
        <w:rPr>
          <w:rFonts w:ascii="Book Antiqua" w:hAnsi="Book Antiqua"/>
          <w:color w:val="000000" w:themeColor="text1"/>
          <w:sz w:val="24"/>
          <w:szCs w:val="24"/>
        </w:rPr>
        <w:fldChar w:fldCharType="begin" w:fldLock="1"/>
      </w:r>
      <w:r>
        <w:rPr>
          <w:rFonts w:ascii="Book Antiqua" w:hAnsi="Book Antiqua"/>
          <w:color w:val="000000" w:themeColor="text1"/>
          <w:sz w:val="24"/>
          <w:szCs w:val="24"/>
        </w:rPr>
        <w:instrText>ADDIN CSL_CITATION {"citationItems":[{"id":"ITEM-1","itemData":{"author":[{"dropping-particle":"","family":"Nazir","given":"Moh.","non-dropping-particle":"","parse-names":false,"suffix":""}],"id":"ITEM-1","issued":{"date-parts":[["2017"]]},"publisher":"Ghalia Indonesia.","publisher-place":"Bogor","title":"Metode Penelitian.","type":"book"},"uris":["http://www.mendeley.com/documents/?uuid=f8f800f0-8de0-4e37-87ee-5eca3260de20"]}],"mendeley":{"formattedCitation":"(Nazir, 2017)","plainTextFormattedCitation":"(Nazir, 2017)","previouslyFormattedCitation":"(Nazir, 2017)"},"properties":{"noteIndex":0},"schema":"https://github.com/citation-style-language/schema/raw/master/csl-citation.json"}</w:instrText>
      </w:r>
      <w:r>
        <w:rPr>
          <w:rFonts w:ascii="Book Antiqua" w:hAnsi="Book Antiqua"/>
          <w:color w:val="000000" w:themeColor="text1"/>
          <w:sz w:val="24"/>
          <w:szCs w:val="24"/>
        </w:rPr>
        <w:fldChar w:fldCharType="separate"/>
      </w:r>
      <w:r w:rsidRPr="005036BC">
        <w:rPr>
          <w:rFonts w:ascii="Book Antiqua" w:hAnsi="Book Antiqua"/>
          <w:noProof/>
          <w:color w:val="000000" w:themeColor="text1"/>
          <w:sz w:val="24"/>
          <w:szCs w:val="24"/>
        </w:rPr>
        <w:t>(Nazir, 2017)</w:t>
      </w:r>
      <w:r>
        <w:rPr>
          <w:rFonts w:ascii="Book Antiqua" w:hAnsi="Book Antiqua"/>
          <w:color w:val="000000" w:themeColor="text1"/>
          <w:sz w:val="24"/>
          <w:szCs w:val="24"/>
        </w:rPr>
        <w:fldChar w:fldCharType="end"/>
      </w:r>
      <w:r w:rsidRPr="008C115A">
        <w:rPr>
          <w:rFonts w:ascii="Book Antiqua" w:hAnsi="Book Antiqua"/>
          <w:color w:val="000000" w:themeColor="text1"/>
          <w:sz w:val="24"/>
          <w:szCs w:val="24"/>
        </w:rPr>
        <w:t xml:space="preserve">, penelitian kepustakaan dilakukan melalui kegiatan mengumpulkan, membaca, mencatat, mengolah, dan menganalisis berbagai referensi yang relevan dengan fokus penelitian. </w:t>
      </w:r>
      <w:proofErr w:type="gramStart"/>
      <w:r w:rsidRPr="008C115A">
        <w:rPr>
          <w:rFonts w:ascii="Book Antiqua" w:hAnsi="Book Antiqua"/>
          <w:color w:val="000000" w:themeColor="text1"/>
          <w:sz w:val="24"/>
          <w:szCs w:val="24"/>
        </w:rPr>
        <w:t>Pendekatan kualitatif dipilih karena penelitian ini bertujuan memahami makna pendidikan yang terkandung dalam QS.</w:t>
      </w:r>
      <w:proofErr w:type="gramEnd"/>
      <w:r w:rsidRPr="008C115A">
        <w:rPr>
          <w:rFonts w:ascii="Book Antiqua" w:hAnsi="Book Antiqua"/>
          <w:color w:val="000000" w:themeColor="text1"/>
          <w:sz w:val="24"/>
          <w:szCs w:val="24"/>
        </w:rPr>
        <w:t xml:space="preserve"> An-Nisa' [4]:171 melalui perspektif tafsir tarbawi serta menjelaskan relevansinya terhadap upaya pencegahan ekstremisme beragama. Proses penelitian dilakukan dengan menelaah berbagai sumber primer dan sekunder secara mendalam sehingga diperoleh pemahaman yang komprehensif mengenai konsep larangan ghuluw dalam Islam. </w:t>
      </w:r>
      <w:proofErr w:type="gramStart"/>
      <w:r w:rsidRPr="008C115A">
        <w:rPr>
          <w:rFonts w:ascii="Book Antiqua" w:hAnsi="Book Antiqua"/>
          <w:color w:val="000000" w:themeColor="text1"/>
          <w:sz w:val="24"/>
          <w:szCs w:val="24"/>
        </w:rPr>
        <w:t>Dengan demikian, pendekatan kualitatif memungkinkan peneliti menggali nilai-nilai pendidikan yang terkandung dalam ayat tersebut secara lebih mendalam dan kontekstual.</w:t>
      </w:r>
      <w:proofErr w:type="gramEnd"/>
    </w:p>
    <w:p w14:paraId="3EB378A4" w14:textId="77777777" w:rsidR="00F943A6" w:rsidRPr="008C115A" w:rsidRDefault="00F943A6" w:rsidP="00F943A6">
      <w:pPr>
        <w:ind w:firstLine="720"/>
        <w:jc w:val="both"/>
        <w:rPr>
          <w:rFonts w:ascii="Book Antiqua" w:hAnsi="Book Antiqua"/>
          <w:color w:val="000000" w:themeColor="text1"/>
          <w:sz w:val="24"/>
          <w:szCs w:val="24"/>
        </w:rPr>
      </w:pPr>
      <w:proofErr w:type="gramStart"/>
      <w:r w:rsidRPr="008C115A">
        <w:rPr>
          <w:rFonts w:ascii="Book Antiqua" w:hAnsi="Book Antiqua"/>
          <w:color w:val="000000" w:themeColor="text1"/>
          <w:sz w:val="24"/>
          <w:szCs w:val="24"/>
        </w:rPr>
        <w:t>Objek penelitian dalam penelitian ini adalah konsep anti-ekstremisme yang terkandung dalam QS.</w:t>
      </w:r>
      <w:proofErr w:type="gramEnd"/>
      <w:r w:rsidRPr="008C115A">
        <w:rPr>
          <w:rFonts w:ascii="Book Antiqua" w:hAnsi="Book Antiqua"/>
          <w:color w:val="000000" w:themeColor="text1"/>
          <w:sz w:val="24"/>
          <w:szCs w:val="24"/>
        </w:rPr>
        <w:t xml:space="preserve"> An-Nisa' [4]:171 dengan fokus utama pada larangan ghuluw dalam beragama. </w:t>
      </w:r>
      <w:proofErr w:type="gramStart"/>
      <w:r w:rsidRPr="008C115A">
        <w:rPr>
          <w:rFonts w:ascii="Book Antiqua" w:hAnsi="Book Antiqua"/>
          <w:color w:val="000000" w:themeColor="text1"/>
          <w:sz w:val="24"/>
          <w:szCs w:val="24"/>
        </w:rPr>
        <w:t>Objek tersebut dipilih karena ayat ini secara eksplisit memuat peringatan Allah Swt. kepada manusia agar tidak berlebihan dalam memahami dan mengamalkan ajaran agama.</w:t>
      </w:r>
      <w:proofErr w:type="gramEnd"/>
      <w:r w:rsidRPr="008C115A">
        <w:rPr>
          <w:rFonts w:ascii="Book Antiqua" w:hAnsi="Book Antiqua"/>
          <w:color w:val="000000" w:themeColor="text1"/>
          <w:sz w:val="24"/>
          <w:szCs w:val="24"/>
        </w:rPr>
        <w:t xml:space="preserve"> Menurut Nazir </w:t>
      </w:r>
      <w:r>
        <w:rPr>
          <w:rFonts w:ascii="Book Antiqua" w:hAnsi="Book Antiqua"/>
          <w:color w:val="000000" w:themeColor="text1"/>
          <w:sz w:val="24"/>
          <w:szCs w:val="24"/>
        </w:rPr>
        <w:fldChar w:fldCharType="begin" w:fldLock="1"/>
      </w:r>
      <w:r>
        <w:rPr>
          <w:rFonts w:ascii="Book Antiqua" w:hAnsi="Book Antiqua"/>
          <w:color w:val="000000" w:themeColor="text1"/>
          <w:sz w:val="24"/>
          <w:szCs w:val="24"/>
        </w:rPr>
        <w:instrText>ADDIN CSL_CITATION {"citationItems":[{"id":"ITEM-1","itemData":{"author":[{"dropping-particle":"","family":"Nazir","given":"Moh.","non-dropping-particle":"","parse-names":false,"suffix":""}],"id":"ITEM-1","issued":{"date-parts":[["2017"]]},"publisher":"Ghalia Indonesia.","publisher-place":"Bogor","title":"Metode Penelitian.","type":"book"},"uris":["http://www.mendeley.com/documents/?uuid=f8f800f0-8de0-4e37-87ee-5eca3260de20"]}],"mendeley":{"formattedCitation":"(Nazir, 2017)","plainTextFormattedCitation":"(Nazir, 2017)","previouslyFormattedCitation":"(Nazir, 2017)"},"properties":{"noteIndex":0},"schema":"https://github.com/citation-style-language/schema/raw/master/csl-citation.json"}</w:instrText>
      </w:r>
      <w:r>
        <w:rPr>
          <w:rFonts w:ascii="Book Antiqua" w:hAnsi="Book Antiqua"/>
          <w:color w:val="000000" w:themeColor="text1"/>
          <w:sz w:val="24"/>
          <w:szCs w:val="24"/>
        </w:rPr>
        <w:fldChar w:fldCharType="separate"/>
      </w:r>
      <w:r w:rsidRPr="005036BC">
        <w:rPr>
          <w:rFonts w:ascii="Book Antiqua" w:hAnsi="Book Antiqua"/>
          <w:noProof/>
          <w:color w:val="000000" w:themeColor="text1"/>
          <w:sz w:val="24"/>
          <w:szCs w:val="24"/>
        </w:rPr>
        <w:t>(Nazir, 2017)</w:t>
      </w:r>
      <w:r>
        <w:rPr>
          <w:rFonts w:ascii="Book Antiqua" w:hAnsi="Book Antiqua"/>
          <w:color w:val="000000" w:themeColor="text1"/>
          <w:sz w:val="24"/>
          <w:szCs w:val="24"/>
        </w:rPr>
        <w:fldChar w:fldCharType="end"/>
      </w:r>
      <w:r w:rsidRPr="008C115A">
        <w:rPr>
          <w:rFonts w:ascii="Book Antiqua" w:hAnsi="Book Antiqua"/>
          <w:color w:val="000000" w:themeColor="text1"/>
          <w:sz w:val="24"/>
          <w:szCs w:val="24"/>
        </w:rPr>
        <w:t xml:space="preserve">, objek penelitian dalam studi kepustakaan dapat berupa konsep, gagasan, teori, maupun dokumen yang menjadi fokus kajian ilmiah. </w:t>
      </w:r>
      <w:proofErr w:type="gramStart"/>
      <w:r w:rsidRPr="008C115A">
        <w:rPr>
          <w:rFonts w:ascii="Book Antiqua" w:hAnsi="Book Antiqua"/>
          <w:color w:val="000000" w:themeColor="text1"/>
          <w:sz w:val="24"/>
          <w:szCs w:val="24"/>
        </w:rPr>
        <w:t>Penentuan objek dilakukan berdasarkan kesesuaiannya dengan fenomena meningkatnya ekstremisme keagamaan yang berkembang dalam masyarakat modern.</w:t>
      </w:r>
      <w:proofErr w:type="gramEnd"/>
      <w:r w:rsidRPr="008C115A">
        <w:rPr>
          <w:rFonts w:ascii="Book Antiqua" w:hAnsi="Book Antiqua"/>
          <w:color w:val="000000" w:themeColor="text1"/>
          <w:sz w:val="24"/>
          <w:szCs w:val="24"/>
        </w:rPr>
        <w:t xml:space="preserve"> </w:t>
      </w:r>
      <w:proofErr w:type="gramStart"/>
      <w:r w:rsidRPr="008C115A">
        <w:rPr>
          <w:rFonts w:ascii="Book Antiqua" w:hAnsi="Book Antiqua"/>
          <w:color w:val="000000" w:themeColor="text1"/>
          <w:sz w:val="24"/>
          <w:szCs w:val="24"/>
        </w:rPr>
        <w:t>Selain itu, ayat tersebut memiliki relevansi yang kuat dengan isu moderasi beragama yang menjadi perhatian berbagai kalangan akademisi maupun praktisi pendidikan Islam saat ini.</w:t>
      </w:r>
      <w:proofErr w:type="gramEnd"/>
      <w:r w:rsidRPr="008C115A">
        <w:rPr>
          <w:rFonts w:ascii="Book Antiqua" w:hAnsi="Book Antiqua"/>
          <w:color w:val="000000" w:themeColor="text1"/>
          <w:sz w:val="24"/>
          <w:szCs w:val="24"/>
        </w:rPr>
        <w:t xml:space="preserve"> </w:t>
      </w:r>
      <w:proofErr w:type="gramStart"/>
      <w:r w:rsidRPr="008C115A">
        <w:rPr>
          <w:rFonts w:ascii="Book Antiqua" w:hAnsi="Book Antiqua"/>
          <w:color w:val="000000" w:themeColor="text1"/>
          <w:sz w:val="24"/>
          <w:szCs w:val="24"/>
        </w:rPr>
        <w:t>Oleh karena itu, QS.</w:t>
      </w:r>
      <w:proofErr w:type="gramEnd"/>
      <w:r w:rsidRPr="008C115A">
        <w:rPr>
          <w:rFonts w:ascii="Book Antiqua" w:hAnsi="Book Antiqua"/>
          <w:color w:val="000000" w:themeColor="text1"/>
          <w:sz w:val="24"/>
          <w:szCs w:val="24"/>
        </w:rPr>
        <w:t xml:space="preserve"> An-Nisa' [4]:171 dipandang sebagai sumber normatif yang tepat untuk mengkaji konsep pendidikan anti-ekstremisme dalam perspektif Al-Qur'an.</w:t>
      </w:r>
    </w:p>
    <w:p w14:paraId="062812C2" w14:textId="77777777" w:rsidR="00F943A6" w:rsidRPr="008C115A" w:rsidRDefault="00F943A6" w:rsidP="00F943A6">
      <w:pPr>
        <w:ind w:firstLine="720"/>
        <w:jc w:val="both"/>
        <w:rPr>
          <w:rFonts w:ascii="Book Antiqua" w:hAnsi="Book Antiqua"/>
          <w:color w:val="000000" w:themeColor="text1"/>
          <w:sz w:val="24"/>
          <w:szCs w:val="24"/>
        </w:rPr>
      </w:pPr>
      <w:proofErr w:type="gramStart"/>
      <w:r w:rsidRPr="008C115A">
        <w:rPr>
          <w:rFonts w:ascii="Book Antiqua" w:hAnsi="Book Antiqua"/>
          <w:color w:val="000000" w:themeColor="text1"/>
          <w:sz w:val="24"/>
          <w:szCs w:val="24"/>
        </w:rPr>
        <w:t>Sumber data penelitian terdiri atas sumber primer dan sumber sekunder.</w:t>
      </w:r>
      <w:proofErr w:type="gramEnd"/>
      <w:r w:rsidRPr="008C115A">
        <w:rPr>
          <w:rFonts w:ascii="Book Antiqua" w:hAnsi="Book Antiqua"/>
          <w:color w:val="000000" w:themeColor="text1"/>
          <w:sz w:val="24"/>
          <w:szCs w:val="24"/>
        </w:rPr>
        <w:t xml:space="preserve"> </w:t>
      </w:r>
      <w:proofErr w:type="gramStart"/>
      <w:r w:rsidRPr="008C115A">
        <w:rPr>
          <w:rFonts w:ascii="Book Antiqua" w:hAnsi="Book Antiqua"/>
          <w:color w:val="000000" w:themeColor="text1"/>
          <w:sz w:val="24"/>
          <w:szCs w:val="24"/>
        </w:rPr>
        <w:t>Sumber primer dalam penelitian ini adalah Al-Qur'an khususnya QS.</w:t>
      </w:r>
      <w:proofErr w:type="gramEnd"/>
      <w:r w:rsidRPr="008C115A">
        <w:rPr>
          <w:rFonts w:ascii="Book Antiqua" w:hAnsi="Book Antiqua"/>
          <w:color w:val="000000" w:themeColor="text1"/>
          <w:sz w:val="24"/>
          <w:szCs w:val="24"/>
        </w:rPr>
        <w:t xml:space="preserve"> An-Nisa' [4]:171, Tafsir Al-Misbah karya M. Quraish Shihab, Tafsir Ibnu Katsir, serta berbagai kitab tafsir yang membahas ayat tersebut. </w:t>
      </w:r>
      <w:proofErr w:type="gramStart"/>
      <w:r w:rsidRPr="008C115A">
        <w:rPr>
          <w:rFonts w:ascii="Book Antiqua" w:hAnsi="Book Antiqua"/>
          <w:color w:val="000000" w:themeColor="text1"/>
          <w:sz w:val="24"/>
          <w:szCs w:val="24"/>
        </w:rPr>
        <w:t>Adapun sumber sekunder meliputi buku-buku pendidikan Islam, jurnal nasional dan internasional, artikel ilmiah, hasil penelitian tentang moderasi beragama, ekstremisme, dan tafsir tarbawi yang relevan dengan fokus penelitian.</w:t>
      </w:r>
      <w:proofErr w:type="gramEnd"/>
      <w:r w:rsidRPr="008C115A">
        <w:rPr>
          <w:rFonts w:ascii="Book Antiqua" w:hAnsi="Book Antiqua"/>
          <w:color w:val="000000" w:themeColor="text1"/>
          <w:sz w:val="24"/>
          <w:szCs w:val="24"/>
        </w:rPr>
        <w:t xml:space="preserve"> </w:t>
      </w:r>
      <w:proofErr w:type="gramStart"/>
      <w:r w:rsidRPr="008C115A">
        <w:rPr>
          <w:rFonts w:ascii="Book Antiqua" w:hAnsi="Book Antiqua"/>
          <w:color w:val="000000" w:themeColor="text1"/>
          <w:sz w:val="24"/>
          <w:szCs w:val="24"/>
        </w:rPr>
        <w:t>Penentuan sumber data dilakukan secara purposive dengan mempertimbangkan aspek kredibilitas, relevansi, dan keterkaitannya dengan tema penelitian.</w:t>
      </w:r>
      <w:proofErr w:type="gramEnd"/>
      <w:r w:rsidRPr="008C115A">
        <w:rPr>
          <w:rFonts w:ascii="Book Antiqua" w:hAnsi="Book Antiqua"/>
          <w:color w:val="000000" w:themeColor="text1"/>
          <w:sz w:val="24"/>
          <w:szCs w:val="24"/>
        </w:rPr>
        <w:t xml:space="preserve"> Dengan demikian, data yang diperoleh memiliki validitas akademik dan mampu mendukung proses analisis secara komprehensif.</w:t>
      </w:r>
    </w:p>
    <w:p w14:paraId="4A645486" w14:textId="77777777" w:rsidR="00F943A6" w:rsidRPr="008C115A" w:rsidRDefault="00F943A6" w:rsidP="00F943A6">
      <w:pPr>
        <w:jc w:val="both"/>
        <w:rPr>
          <w:rFonts w:ascii="Book Antiqua" w:hAnsi="Book Antiqua"/>
          <w:color w:val="000000" w:themeColor="text1"/>
          <w:sz w:val="24"/>
          <w:szCs w:val="24"/>
        </w:rPr>
      </w:pPr>
      <w:proofErr w:type="gramStart"/>
      <w:r w:rsidRPr="008C115A">
        <w:rPr>
          <w:rFonts w:ascii="Book Antiqua" w:hAnsi="Book Antiqua"/>
          <w:color w:val="000000" w:themeColor="text1"/>
          <w:sz w:val="24"/>
          <w:szCs w:val="24"/>
        </w:rPr>
        <w:t>Teknik pengumpulan data yang digunakan dalam penelitian ini adalah teknik dokumentasi.</w:t>
      </w:r>
      <w:proofErr w:type="gramEnd"/>
      <w:r w:rsidRPr="008C115A">
        <w:rPr>
          <w:rFonts w:ascii="Book Antiqua" w:hAnsi="Book Antiqua"/>
          <w:color w:val="000000" w:themeColor="text1"/>
          <w:sz w:val="24"/>
          <w:szCs w:val="24"/>
        </w:rPr>
        <w:t xml:space="preserve"> Menurut Arikunto </w:t>
      </w:r>
      <w:r>
        <w:rPr>
          <w:rFonts w:ascii="Book Antiqua" w:hAnsi="Book Antiqua"/>
          <w:color w:val="000000" w:themeColor="text1"/>
          <w:sz w:val="24"/>
          <w:szCs w:val="24"/>
        </w:rPr>
        <w:fldChar w:fldCharType="begin" w:fldLock="1"/>
      </w:r>
      <w:r>
        <w:rPr>
          <w:rFonts w:ascii="Book Antiqua" w:hAnsi="Book Antiqua"/>
          <w:color w:val="000000" w:themeColor="text1"/>
          <w:sz w:val="24"/>
          <w:szCs w:val="24"/>
        </w:rPr>
        <w:instrText>ADDIN CSL_CITATION {"citationItems":[{"id":"ITEM-1","itemData":{"author":[{"dropping-particle":"","family":"Arikunto","given":"Suharsimi.","non-dropping-particle":"","parse-names":false,"suffix":""}],"id":"ITEM-1","issued":{"date-parts":[["2019"]]},"publisher":"Rineka Cipta.","publisher-place":"Jakarta","title":"Prosedur Penelitian: Suatu Pendekatan Praktik.","type":"book"},"uris":["http://www.mendeley.com/documents/?uuid=8326d3ea-ad3f-4dc9-9c76-4c6b2bab2301"]}],"mendeley":{"formattedCitation":"(Arikunto, 2019)","plainTextFormattedCitation":"(Arikunto, 2019)","previouslyFormattedCitation":"(Arikunto, 2019)"},"properties":{"noteIndex":0},"schema":"https://github.com/citation-style-language/schema/raw/master/csl-citation.json"}</w:instrText>
      </w:r>
      <w:r>
        <w:rPr>
          <w:rFonts w:ascii="Book Antiqua" w:hAnsi="Book Antiqua"/>
          <w:color w:val="000000" w:themeColor="text1"/>
          <w:sz w:val="24"/>
          <w:szCs w:val="24"/>
        </w:rPr>
        <w:fldChar w:fldCharType="separate"/>
      </w:r>
      <w:r w:rsidRPr="005036BC">
        <w:rPr>
          <w:rFonts w:ascii="Book Antiqua" w:hAnsi="Book Antiqua"/>
          <w:noProof/>
          <w:color w:val="000000" w:themeColor="text1"/>
          <w:sz w:val="24"/>
          <w:szCs w:val="24"/>
        </w:rPr>
        <w:t>(Arikunto, 2019)</w:t>
      </w:r>
      <w:r>
        <w:rPr>
          <w:rFonts w:ascii="Book Antiqua" w:hAnsi="Book Antiqua"/>
          <w:color w:val="000000" w:themeColor="text1"/>
          <w:sz w:val="24"/>
          <w:szCs w:val="24"/>
        </w:rPr>
        <w:fldChar w:fldCharType="end"/>
      </w:r>
      <w:r w:rsidRPr="008C115A">
        <w:rPr>
          <w:rFonts w:ascii="Book Antiqua" w:hAnsi="Book Antiqua"/>
          <w:color w:val="000000" w:themeColor="text1"/>
          <w:sz w:val="24"/>
          <w:szCs w:val="24"/>
        </w:rPr>
        <w:t xml:space="preserve">, dokumentasi merupakan metode pengumpulan data yang dilakukan melalui penelaahan berbagai dokumen yang berkaitan dengan fokus penelitian. </w:t>
      </w:r>
      <w:proofErr w:type="gramStart"/>
      <w:r w:rsidRPr="008C115A">
        <w:rPr>
          <w:rFonts w:ascii="Book Antiqua" w:hAnsi="Book Antiqua"/>
          <w:color w:val="000000" w:themeColor="text1"/>
          <w:sz w:val="24"/>
          <w:szCs w:val="24"/>
        </w:rPr>
        <w:t xml:space="preserve">Teknik ini dipilih karena seluruh data penelitian bersumber dari literatur tertulis yang memiliki hubungan </w:t>
      </w:r>
      <w:r w:rsidRPr="008C115A">
        <w:rPr>
          <w:rFonts w:ascii="Book Antiqua" w:hAnsi="Book Antiqua"/>
          <w:color w:val="000000" w:themeColor="text1"/>
          <w:sz w:val="24"/>
          <w:szCs w:val="24"/>
        </w:rPr>
        <w:lastRenderedPageBreak/>
        <w:t>langsung dengan tema kajian.</w:t>
      </w:r>
      <w:proofErr w:type="gramEnd"/>
      <w:r w:rsidRPr="008C115A">
        <w:rPr>
          <w:rFonts w:ascii="Book Antiqua" w:hAnsi="Book Antiqua"/>
          <w:color w:val="000000" w:themeColor="text1"/>
          <w:sz w:val="24"/>
          <w:szCs w:val="24"/>
        </w:rPr>
        <w:t xml:space="preserve"> Proses pengumpulan data dilakukan dengan </w:t>
      </w:r>
      <w:proofErr w:type="gramStart"/>
      <w:r w:rsidRPr="008C115A">
        <w:rPr>
          <w:rFonts w:ascii="Book Antiqua" w:hAnsi="Book Antiqua"/>
          <w:color w:val="000000" w:themeColor="text1"/>
          <w:sz w:val="24"/>
          <w:szCs w:val="24"/>
        </w:rPr>
        <w:t>cara</w:t>
      </w:r>
      <w:proofErr w:type="gramEnd"/>
      <w:r w:rsidRPr="008C115A">
        <w:rPr>
          <w:rFonts w:ascii="Book Antiqua" w:hAnsi="Book Antiqua"/>
          <w:color w:val="000000" w:themeColor="text1"/>
          <w:sz w:val="24"/>
          <w:szCs w:val="24"/>
        </w:rPr>
        <w:t xml:space="preserve"> mengidentifikasi, mengklasifikasi, dan mencatat berbagai informasi penting yang terdapat dalam Al-Qur'an, kitab tafsir, buku, artikel, dan jurnal ilmiah yang membahas konsep ghuluw, moderasi beragama, serta pendidikan anti-ekstremisme. Selanjutnya, data yang telah terkumpul disusun berdasarkan tema-tema tertentu agar memudahkan proses analisis. </w:t>
      </w:r>
      <w:proofErr w:type="gramStart"/>
      <w:r w:rsidRPr="008C115A">
        <w:rPr>
          <w:rFonts w:ascii="Book Antiqua" w:hAnsi="Book Antiqua"/>
          <w:color w:val="000000" w:themeColor="text1"/>
          <w:sz w:val="24"/>
          <w:szCs w:val="24"/>
        </w:rPr>
        <w:t>Oleh karena itu, teknik dokumentasi memungkinkan peneliti memperoleh data yang sistematis dan sesuai dengan kebutuhan penelitian.</w:t>
      </w:r>
      <w:proofErr w:type="gramEnd"/>
    </w:p>
    <w:p w14:paraId="060B6D6D" w14:textId="4061CC63" w:rsidR="00F943A6" w:rsidRDefault="00F943A6" w:rsidP="00F943A6">
      <w:pPr>
        <w:ind w:firstLine="720"/>
        <w:jc w:val="both"/>
        <w:rPr>
          <w:rFonts w:ascii="Book Antiqua" w:hAnsi="Book Antiqua"/>
          <w:color w:val="000000" w:themeColor="text1"/>
          <w:sz w:val="24"/>
          <w:szCs w:val="24"/>
        </w:rPr>
      </w:pPr>
      <w:proofErr w:type="gramStart"/>
      <w:r w:rsidRPr="008C115A">
        <w:rPr>
          <w:rFonts w:ascii="Book Antiqua" w:hAnsi="Book Antiqua"/>
          <w:color w:val="000000" w:themeColor="text1"/>
          <w:sz w:val="24"/>
          <w:szCs w:val="24"/>
        </w:rPr>
        <w:t>Teknik analisis data yang digunakan adalah analisis isi (content analysis).</w:t>
      </w:r>
      <w:proofErr w:type="gramEnd"/>
      <w:r w:rsidRPr="008C115A">
        <w:rPr>
          <w:rFonts w:ascii="Book Antiqua" w:hAnsi="Book Antiqua"/>
          <w:color w:val="000000" w:themeColor="text1"/>
          <w:sz w:val="24"/>
          <w:szCs w:val="24"/>
        </w:rPr>
        <w:t xml:space="preserve"> </w:t>
      </w:r>
      <w:r>
        <w:rPr>
          <w:rFonts w:ascii="Book Antiqua" w:hAnsi="Book Antiqua"/>
          <w:color w:val="000000" w:themeColor="text1"/>
          <w:sz w:val="24"/>
          <w:szCs w:val="24"/>
        </w:rPr>
        <w:t xml:space="preserve">Nazir </w:t>
      </w:r>
      <w:r>
        <w:rPr>
          <w:rFonts w:ascii="Book Antiqua" w:hAnsi="Book Antiqua"/>
          <w:color w:val="000000" w:themeColor="text1"/>
          <w:sz w:val="24"/>
          <w:szCs w:val="24"/>
        </w:rPr>
        <w:fldChar w:fldCharType="begin" w:fldLock="1"/>
      </w:r>
      <w:r>
        <w:rPr>
          <w:rFonts w:ascii="Book Antiqua" w:hAnsi="Book Antiqua"/>
          <w:color w:val="000000" w:themeColor="text1"/>
          <w:sz w:val="24"/>
          <w:szCs w:val="24"/>
        </w:rPr>
        <w:instrText>ADDIN CSL_CITATION {"citationItems":[{"id":"ITEM-1","itemData":{"author":[{"dropping-particle":"","family":"Nazir","given":"Moh.","non-dropping-particle":"","parse-names":false,"suffix":""}],"id":"ITEM-1","issued":{"date-parts":[["2017"]]},"publisher":"Ghalia Indonesia.","publisher-place":"Bogor","title":"Metode Penelitian.","type":"book"},"uris":["http://www.mendeley.com/documents/?uuid=f8f800f0-8de0-4e37-87ee-5eca3260de20"]}],"mendeley":{"formattedCitation":"(Nazir, 2017)","plainTextFormattedCitation":"(Nazir, 2017)","previouslyFormattedCitation":"(Nazir, 2017)"},"properties":{"noteIndex":0},"schema":"https://github.com/citation-style-language/schema/raw/master/csl-citation.json"}</w:instrText>
      </w:r>
      <w:r>
        <w:rPr>
          <w:rFonts w:ascii="Book Antiqua" w:hAnsi="Book Antiqua"/>
          <w:color w:val="000000" w:themeColor="text1"/>
          <w:sz w:val="24"/>
          <w:szCs w:val="24"/>
        </w:rPr>
        <w:fldChar w:fldCharType="separate"/>
      </w:r>
      <w:r w:rsidRPr="002D47D1">
        <w:rPr>
          <w:rFonts w:ascii="Book Antiqua" w:hAnsi="Book Antiqua"/>
          <w:noProof/>
          <w:color w:val="000000" w:themeColor="text1"/>
          <w:sz w:val="24"/>
          <w:szCs w:val="24"/>
        </w:rPr>
        <w:t>(Nazir, 2017)</w:t>
      </w:r>
      <w:r>
        <w:rPr>
          <w:rFonts w:ascii="Book Antiqua" w:hAnsi="Book Antiqua"/>
          <w:color w:val="000000" w:themeColor="text1"/>
          <w:sz w:val="24"/>
          <w:szCs w:val="24"/>
        </w:rPr>
        <w:fldChar w:fldCharType="end"/>
      </w:r>
      <w:r w:rsidRPr="008C115A">
        <w:rPr>
          <w:rFonts w:ascii="Book Antiqua" w:hAnsi="Book Antiqua"/>
          <w:color w:val="000000" w:themeColor="text1"/>
          <w:sz w:val="24"/>
          <w:szCs w:val="24"/>
        </w:rPr>
        <w:t xml:space="preserve"> menjelaskan bahwa analisis isi merupakan metode yang digunakan untuk memahami makna suatu teks secara sistematis, objektif, dan mendalam. </w:t>
      </w:r>
      <w:proofErr w:type="gramStart"/>
      <w:r w:rsidRPr="008C115A">
        <w:rPr>
          <w:rFonts w:ascii="Book Antiqua" w:hAnsi="Book Antiqua"/>
          <w:color w:val="000000" w:themeColor="text1"/>
          <w:sz w:val="24"/>
          <w:szCs w:val="24"/>
        </w:rPr>
        <w:t>Teknik ini dipilih karena penelitian berfokus pada kajian terhadap teks Al-Qur'an, tafsir, serta berbagai literatur yang berkaitan dengan ekstremisme dan moderasi beragama.</w:t>
      </w:r>
      <w:proofErr w:type="gramEnd"/>
      <w:r w:rsidRPr="008C115A">
        <w:rPr>
          <w:rFonts w:ascii="Book Antiqua" w:hAnsi="Book Antiqua"/>
          <w:color w:val="000000" w:themeColor="text1"/>
          <w:sz w:val="24"/>
          <w:szCs w:val="24"/>
        </w:rPr>
        <w:t xml:space="preserve"> Proses analisis dilakukan melalui tahapan reduksi data, penyajian data, dan penarikan kesimpulan sebagaimana dikemukakan oleh Miles, Huberman, dan Saldaña </w:t>
      </w:r>
      <w:r>
        <w:rPr>
          <w:rFonts w:ascii="Book Antiqua" w:hAnsi="Book Antiqua"/>
          <w:color w:val="000000" w:themeColor="text1"/>
          <w:sz w:val="24"/>
          <w:szCs w:val="24"/>
        </w:rPr>
        <w:fldChar w:fldCharType="begin" w:fldLock="1"/>
      </w:r>
      <w:r w:rsidR="00445C04">
        <w:rPr>
          <w:rFonts w:ascii="Book Antiqua" w:hAnsi="Book Antiqua"/>
          <w:color w:val="000000" w:themeColor="text1"/>
          <w:sz w:val="24"/>
          <w:szCs w:val="24"/>
        </w:rPr>
        <w:instrText>ADDIN CSL_CITATION {"citationItems":[{"id":"ITEM-1","itemData":{"author":[{"dropping-particle":"","family":"Miles, M. B., Huberman, A. M., &amp; Saldaña","given":"J.","non-dropping-particle":"","parse-names":false,"suffix":""}],"edition":"3rd","id":"ITEM-1","issued":{"date-parts":[["2014"]]},"publisher":"SAGE Publications.","publisher-place":"Thousand Oaks, CA","title":"Qualitative Data Analysis: A Methods Sourcebook","type":"book"},"uris":["http://www.mendeley.com/documents/?uuid=39612794-6b36-4233-8178-b94e76ffcb35"]}],"mendeley":{"formattedCitation":"(Miles, M. B., Huberman, A. M., &amp; Saldaña, 2014)","plainTextFormattedCitation":"(Miles, M. B., Huberman, A. M., &amp; Saldaña, 2014)","previouslyFormattedCitation":"(Miles, M. B., Huberman, A. M., &amp; Saldaña, 2014)"},"properties":{"noteIndex":0},"schema":"https://github.com/citation-style-language/schema/raw/master/csl-citation.json"}</w:instrText>
      </w:r>
      <w:r>
        <w:rPr>
          <w:rFonts w:ascii="Book Antiqua" w:hAnsi="Book Antiqua"/>
          <w:color w:val="000000" w:themeColor="text1"/>
          <w:sz w:val="24"/>
          <w:szCs w:val="24"/>
        </w:rPr>
        <w:fldChar w:fldCharType="separate"/>
      </w:r>
      <w:r w:rsidRPr="003D265F">
        <w:rPr>
          <w:rFonts w:ascii="Book Antiqua" w:hAnsi="Book Antiqua"/>
          <w:noProof/>
          <w:color w:val="000000" w:themeColor="text1"/>
          <w:sz w:val="24"/>
          <w:szCs w:val="24"/>
        </w:rPr>
        <w:t>(Miles, M. B., Huberman, A. M., &amp; Saldaña, 2014)</w:t>
      </w:r>
      <w:r>
        <w:rPr>
          <w:rFonts w:ascii="Book Antiqua" w:hAnsi="Book Antiqua"/>
          <w:color w:val="000000" w:themeColor="text1"/>
          <w:sz w:val="24"/>
          <w:szCs w:val="24"/>
        </w:rPr>
        <w:fldChar w:fldCharType="end"/>
      </w:r>
      <w:r w:rsidRPr="008C115A">
        <w:rPr>
          <w:rFonts w:ascii="Book Antiqua" w:hAnsi="Book Antiqua"/>
          <w:color w:val="000000" w:themeColor="text1"/>
          <w:sz w:val="24"/>
          <w:szCs w:val="24"/>
        </w:rPr>
        <w:t xml:space="preserve">. </w:t>
      </w:r>
      <w:proofErr w:type="gramStart"/>
      <w:r w:rsidRPr="008C115A">
        <w:rPr>
          <w:rFonts w:ascii="Book Antiqua" w:hAnsi="Book Antiqua"/>
          <w:color w:val="000000" w:themeColor="text1"/>
          <w:sz w:val="24"/>
          <w:szCs w:val="24"/>
        </w:rPr>
        <w:t>Selanjutnya, data yang telah dianalisis diinterpretasikan untuk menemukan nilai-nilai pendidikan anti-ekstremisme yang terkandung dalam QS.</w:t>
      </w:r>
      <w:proofErr w:type="gramEnd"/>
      <w:r w:rsidRPr="008C115A">
        <w:rPr>
          <w:rFonts w:ascii="Book Antiqua" w:hAnsi="Book Antiqua"/>
          <w:color w:val="000000" w:themeColor="text1"/>
          <w:sz w:val="24"/>
          <w:szCs w:val="24"/>
        </w:rPr>
        <w:t xml:space="preserve"> An-Nisa' [4]:171 serta relevansinya terhadap pengembangan pendidikan Islam kontemporer. </w:t>
      </w:r>
      <w:proofErr w:type="gramStart"/>
      <w:r w:rsidRPr="008C115A">
        <w:rPr>
          <w:rFonts w:ascii="Book Antiqua" w:hAnsi="Book Antiqua"/>
          <w:color w:val="000000" w:themeColor="text1"/>
          <w:sz w:val="24"/>
          <w:szCs w:val="24"/>
        </w:rPr>
        <w:t>Dengan demikian, analisis isi memungkinkan peneliti memperoleh pemahaman yang lebih mendalam mengenai konsep larangan ghuluw dalam perspektif tafsir tarbawi.</w:t>
      </w:r>
      <w:proofErr w:type="gramEnd"/>
    </w:p>
    <w:p w14:paraId="7D26F0F6" w14:textId="77777777" w:rsidR="00404778" w:rsidRDefault="00404778" w:rsidP="00404778">
      <w:pPr>
        <w:spacing w:line="213" w:lineRule="auto"/>
        <w:ind w:left="2"/>
        <w:rPr>
          <w:rFonts w:ascii="Book Antiqua" w:hAnsi="Book Antiqua"/>
          <w:b/>
          <w:bCs/>
          <w:sz w:val="24"/>
          <w:szCs w:val="24"/>
        </w:rPr>
      </w:pPr>
    </w:p>
    <w:p w14:paraId="097C36B3" w14:textId="719C5EEA" w:rsidR="006C2D77" w:rsidRPr="00A025E5" w:rsidRDefault="00281E15" w:rsidP="00404778">
      <w:pPr>
        <w:spacing w:line="213" w:lineRule="auto"/>
        <w:ind w:left="2"/>
        <w:rPr>
          <w:rFonts w:ascii="Book Antiqua" w:hAnsi="Book Antiqua"/>
        </w:rPr>
      </w:pPr>
      <w:r w:rsidRPr="00404778">
        <w:rPr>
          <w:rFonts w:ascii="Book Antiqua" w:hAnsi="Book Antiqua"/>
          <w:b/>
          <w:bCs/>
          <w:sz w:val="24"/>
          <w:szCs w:val="24"/>
        </w:rPr>
        <w:t>TEMUAN</w:t>
      </w:r>
      <w:r w:rsidRPr="00404778">
        <w:rPr>
          <w:rFonts w:ascii="Book Antiqua" w:hAnsi="Book Antiqua"/>
          <w:b/>
          <w:bCs/>
          <w:spacing w:val="-4"/>
        </w:rPr>
        <w:t xml:space="preserve"> </w:t>
      </w:r>
      <w:r w:rsidRPr="00404778">
        <w:rPr>
          <w:rFonts w:ascii="Book Antiqua" w:hAnsi="Book Antiqua"/>
          <w:b/>
          <w:bCs/>
        </w:rPr>
        <w:t xml:space="preserve">DAN </w:t>
      </w:r>
      <w:r w:rsidRPr="00404778">
        <w:rPr>
          <w:rFonts w:ascii="Book Antiqua" w:hAnsi="Book Antiqua"/>
          <w:b/>
          <w:bCs/>
          <w:spacing w:val="-2"/>
        </w:rPr>
        <w:t>PEMBAHASAN</w:t>
      </w:r>
      <w:r w:rsidR="00404778">
        <w:rPr>
          <w:rFonts w:ascii="Book Antiqua" w:hAnsi="Book Antiqua"/>
          <w:spacing w:val="-2"/>
        </w:rPr>
        <w:t xml:space="preserve"> </w:t>
      </w:r>
    </w:p>
    <w:p w14:paraId="2225F004" w14:textId="77777777" w:rsidR="006C2D77" w:rsidRDefault="006C2D77">
      <w:pPr>
        <w:pStyle w:val="BodyText"/>
        <w:spacing w:line="254" w:lineRule="auto"/>
        <w:rPr>
          <w:rFonts w:ascii="Book Antiqua" w:hAnsi="Book Antiqua"/>
        </w:rPr>
      </w:pPr>
    </w:p>
    <w:p w14:paraId="7B2F5FE7" w14:textId="6F8B4353" w:rsidR="00F943A6" w:rsidRDefault="00F943A6" w:rsidP="00F943A6">
      <w:pPr>
        <w:spacing w:before="60"/>
        <w:jc w:val="both"/>
        <w:rPr>
          <w:rFonts w:ascii="Book Antiqua" w:hAnsi="Book Antiqua"/>
          <w:b/>
          <w:color w:val="000000" w:themeColor="text1"/>
          <w:sz w:val="24"/>
          <w:szCs w:val="24"/>
        </w:rPr>
      </w:pPr>
      <w:r>
        <w:rPr>
          <w:rFonts w:ascii="Book Antiqua" w:hAnsi="Book Antiqua"/>
          <w:b/>
          <w:color w:val="000000" w:themeColor="text1"/>
          <w:sz w:val="24"/>
          <w:szCs w:val="24"/>
        </w:rPr>
        <w:t>TEMUAN</w:t>
      </w:r>
    </w:p>
    <w:p w14:paraId="637F16EE" w14:textId="77777777" w:rsidR="00F943A6" w:rsidRPr="00A91410" w:rsidRDefault="00F943A6" w:rsidP="00F943A6">
      <w:pPr>
        <w:spacing w:before="60"/>
        <w:jc w:val="center"/>
        <w:rPr>
          <w:rFonts w:ascii="Book Antiqua" w:hAnsi="Book Antiqua"/>
          <w:b/>
          <w:color w:val="000000" w:themeColor="text1"/>
          <w:sz w:val="24"/>
          <w:szCs w:val="24"/>
        </w:rPr>
      </w:pPr>
      <w:proofErr w:type="gramStart"/>
      <w:r w:rsidRPr="00A91410">
        <w:rPr>
          <w:rFonts w:ascii="Book Antiqua" w:hAnsi="Book Antiqua"/>
          <w:b/>
          <w:color w:val="000000" w:themeColor="text1"/>
          <w:sz w:val="24"/>
          <w:szCs w:val="24"/>
        </w:rPr>
        <w:t>Tabel :</w:t>
      </w:r>
      <w:proofErr w:type="gramEnd"/>
      <w:r w:rsidRPr="00A91410">
        <w:rPr>
          <w:rFonts w:ascii="Book Antiqua" w:hAnsi="Book Antiqua"/>
          <w:b/>
          <w:color w:val="000000" w:themeColor="text1"/>
          <w:sz w:val="24"/>
          <w:szCs w:val="24"/>
        </w:rPr>
        <w:t xml:space="preserve"> 1 Hasil temuan utama</w:t>
      </w:r>
    </w:p>
    <w:tbl>
      <w:tblPr>
        <w:tblStyle w:val="TableGrid"/>
        <w:tblW w:w="0" w:type="auto"/>
        <w:tblLook w:val="04A0" w:firstRow="1" w:lastRow="0" w:firstColumn="1" w:lastColumn="0" w:noHBand="0" w:noVBand="1"/>
      </w:tblPr>
      <w:tblGrid>
        <w:gridCol w:w="2831"/>
        <w:gridCol w:w="2971"/>
        <w:gridCol w:w="2832"/>
      </w:tblGrid>
      <w:tr w:rsidR="00F943A6" w:rsidRPr="00CC5F25" w14:paraId="1AABB807" w14:textId="77777777" w:rsidTr="00072723">
        <w:tc>
          <w:tcPr>
            <w:tcW w:w="2831" w:type="dxa"/>
            <w:tcBorders>
              <w:left w:val="nil"/>
              <w:bottom w:val="single" w:sz="4" w:space="0" w:color="auto"/>
            </w:tcBorders>
          </w:tcPr>
          <w:p w14:paraId="1D9F8599" w14:textId="77777777" w:rsidR="00F943A6" w:rsidRPr="00CC5F25" w:rsidRDefault="00F943A6" w:rsidP="00072723">
            <w:pPr>
              <w:jc w:val="center"/>
              <w:rPr>
                <w:rFonts w:ascii="Book Antiqua" w:hAnsi="Book Antiqua"/>
                <w:b/>
                <w:bCs/>
                <w:color w:val="000000" w:themeColor="text1"/>
                <w:sz w:val="20"/>
                <w:szCs w:val="20"/>
              </w:rPr>
            </w:pPr>
            <w:r w:rsidRPr="00CC5F25">
              <w:rPr>
                <w:rFonts w:ascii="Book Antiqua" w:hAnsi="Book Antiqua"/>
                <w:b/>
                <w:bCs/>
                <w:color w:val="000000" w:themeColor="text1"/>
                <w:sz w:val="20"/>
                <w:szCs w:val="20"/>
              </w:rPr>
              <w:t>Aspek Kajian</w:t>
            </w:r>
          </w:p>
        </w:tc>
        <w:tc>
          <w:tcPr>
            <w:tcW w:w="2832" w:type="dxa"/>
            <w:tcBorders>
              <w:bottom w:val="single" w:sz="4" w:space="0" w:color="auto"/>
            </w:tcBorders>
          </w:tcPr>
          <w:p w14:paraId="0BD50FF5" w14:textId="77777777" w:rsidR="00F943A6" w:rsidRPr="00CC5F25" w:rsidRDefault="00F943A6" w:rsidP="00072723">
            <w:pPr>
              <w:jc w:val="center"/>
              <w:rPr>
                <w:rFonts w:ascii="Book Antiqua" w:hAnsi="Book Antiqua"/>
                <w:b/>
                <w:bCs/>
                <w:color w:val="000000" w:themeColor="text1"/>
                <w:sz w:val="20"/>
                <w:szCs w:val="20"/>
              </w:rPr>
            </w:pPr>
            <w:r w:rsidRPr="00CC5F25">
              <w:rPr>
                <w:rFonts w:ascii="Book Antiqua" w:hAnsi="Book Antiqua"/>
                <w:b/>
                <w:bCs/>
                <w:color w:val="000000" w:themeColor="text1"/>
                <w:sz w:val="20"/>
                <w:szCs w:val="20"/>
              </w:rPr>
              <w:t>Temuan Utama</w:t>
            </w:r>
          </w:p>
        </w:tc>
        <w:tc>
          <w:tcPr>
            <w:tcW w:w="2832" w:type="dxa"/>
            <w:tcBorders>
              <w:bottom w:val="single" w:sz="4" w:space="0" w:color="auto"/>
              <w:right w:val="nil"/>
            </w:tcBorders>
          </w:tcPr>
          <w:p w14:paraId="07D1E786" w14:textId="77777777" w:rsidR="00F943A6" w:rsidRPr="00CC5F25" w:rsidRDefault="00F943A6" w:rsidP="00072723">
            <w:pPr>
              <w:jc w:val="center"/>
              <w:rPr>
                <w:rFonts w:ascii="Book Antiqua" w:hAnsi="Book Antiqua"/>
                <w:b/>
                <w:bCs/>
                <w:color w:val="000000" w:themeColor="text1"/>
                <w:sz w:val="20"/>
                <w:szCs w:val="20"/>
              </w:rPr>
            </w:pPr>
            <w:r w:rsidRPr="00CC5F25">
              <w:rPr>
                <w:rFonts w:ascii="Book Antiqua" w:hAnsi="Book Antiqua"/>
                <w:b/>
                <w:bCs/>
                <w:color w:val="000000" w:themeColor="text1"/>
                <w:sz w:val="20"/>
                <w:szCs w:val="20"/>
              </w:rPr>
              <w:t>Sumber</w:t>
            </w:r>
          </w:p>
        </w:tc>
      </w:tr>
      <w:tr w:rsidR="00F943A6" w:rsidRPr="00CC5F25" w14:paraId="4797C7B6" w14:textId="77777777" w:rsidTr="00072723">
        <w:tc>
          <w:tcPr>
            <w:tcW w:w="2831" w:type="dxa"/>
            <w:tcBorders>
              <w:left w:val="nil"/>
              <w:bottom w:val="single" w:sz="4" w:space="0" w:color="auto"/>
              <w:right w:val="nil"/>
            </w:tcBorders>
          </w:tcPr>
          <w:p w14:paraId="48BFAECC" w14:textId="77777777" w:rsidR="00F943A6" w:rsidRPr="00CC5F25" w:rsidRDefault="00F943A6" w:rsidP="00072723">
            <w:pPr>
              <w:jc w:val="center"/>
              <w:rPr>
                <w:rFonts w:ascii="Book Antiqua" w:hAnsi="Book Antiqua"/>
                <w:b/>
                <w:bCs/>
                <w:color w:val="000000" w:themeColor="text1"/>
                <w:sz w:val="20"/>
                <w:szCs w:val="20"/>
              </w:rPr>
            </w:pPr>
          </w:p>
          <w:p w14:paraId="7CA1A22B" w14:textId="77777777" w:rsidR="00F943A6" w:rsidRPr="00CC5F25" w:rsidRDefault="00F943A6" w:rsidP="00072723">
            <w:pPr>
              <w:jc w:val="center"/>
              <w:rPr>
                <w:rFonts w:ascii="Book Antiqua" w:hAnsi="Book Antiqua"/>
                <w:b/>
                <w:bCs/>
                <w:color w:val="000000" w:themeColor="text1"/>
                <w:sz w:val="20"/>
                <w:szCs w:val="20"/>
              </w:rPr>
            </w:pPr>
          </w:p>
          <w:p w14:paraId="5FD7588F" w14:textId="77777777" w:rsidR="00F943A6" w:rsidRPr="00CC5F25" w:rsidRDefault="00F943A6" w:rsidP="00072723">
            <w:pPr>
              <w:jc w:val="center"/>
              <w:rPr>
                <w:rFonts w:ascii="Book Antiqua" w:hAnsi="Book Antiqua"/>
                <w:b/>
                <w:bCs/>
                <w:color w:val="000000" w:themeColor="text1"/>
                <w:sz w:val="20"/>
                <w:szCs w:val="20"/>
              </w:rPr>
            </w:pPr>
          </w:p>
          <w:p w14:paraId="636D5969" w14:textId="77777777" w:rsidR="00F943A6" w:rsidRPr="00CC5F25" w:rsidRDefault="00F943A6" w:rsidP="00072723">
            <w:pPr>
              <w:jc w:val="center"/>
              <w:rPr>
                <w:rFonts w:ascii="Book Antiqua" w:hAnsi="Book Antiqua"/>
                <w:b/>
                <w:bCs/>
                <w:color w:val="000000" w:themeColor="text1"/>
                <w:sz w:val="20"/>
                <w:szCs w:val="20"/>
              </w:rPr>
            </w:pPr>
          </w:p>
          <w:p w14:paraId="750C0DD3" w14:textId="77777777" w:rsidR="00F943A6" w:rsidRPr="00CC5F25" w:rsidRDefault="00F943A6" w:rsidP="00072723">
            <w:pPr>
              <w:jc w:val="center"/>
              <w:rPr>
                <w:rFonts w:ascii="Book Antiqua" w:hAnsi="Book Antiqua"/>
                <w:b/>
                <w:bCs/>
                <w:color w:val="000000" w:themeColor="text1"/>
                <w:sz w:val="20"/>
                <w:szCs w:val="20"/>
              </w:rPr>
            </w:pPr>
          </w:p>
          <w:p w14:paraId="6A7B3B14" w14:textId="77777777" w:rsidR="00F943A6" w:rsidRPr="00CC5F25" w:rsidRDefault="00F943A6" w:rsidP="00072723">
            <w:pPr>
              <w:jc w:val="center"/>
              <w:rPr>
                <w:rFonts w:ascii="Book Antiqua" w:hAnsi="Book Antiqua"/>
                <w:b/>
                <w:bCs/>
                <w:color w:val="000000" w:themeColor="text1"/>
                <w:sz w:val="20"/>
                <w:szCs w:val="20"/>
              </w:rPr>
            </w:pPr>
          </w:p>
          <w:p w14:paraId="14966FF8" w14:textId="77777777" w:rsidR="00F943A6" w:rsidRPr="00CC5F25" w:rsidRDefault="00F943A6" w:rsidP="00072723">
            <w:pPr>
              <w:rPr>
                <w:rFonts w:ascii="Book Antiqua" w:hAnsi="Book Antiqua"/>
                <w:b/>
                <w:bCs/>
                <w:color w:val="000000" w:themeColor="text1"/>
                <w:sz w:val="20"/>
                <w:szCs w:val="20"/>
              </w:rPr>
            </w:pPr>
            <w:r w:rsidRPr="00CC5F25">
              <w:rPr>
                <w:rFonts w:ascii="Book Antiqua" w:hAnsi="Book Antiqua"/>
                <w:b/>
                <w:bCs/>
                <w:color w:val="000000" w:themeColor="text1"/>
                <w:sz w:val="20"/>
                <w:szCs w:val="20"/>
              </w:rPr>
              <w:t>Larangan Ghuluw</w:t>
            </w:r>
          </w:p>
        </w:tc>
        <w:tc>
          <w:tcPr>
            <w:tcW w:w="2832" w:type="dxa"/>
            <w:tcBorders>
              <w:top w:val="single" w:sz="4" w:space="0" w:color="auto"/>
              <w:left w:val="nil"/>
              <w:bottom w:val="single" w:sz="4" w:space="0" w:color="auto"/>
              <w:right w:val="nil"/>
            </w:tcBorders>
          </w:tcPr>
          <w:p w14:paraId="6A5240AD" w14:textId="77777777" w:rsidR="00F943A6" w:rsidRPr="00CC5F25" w:rsidRDefault="00F943A6" w:rsidP="00072723">
            <w:pPr>
              <w:jc w:val="both"/>
              <w:rPr>
                <w:rFonts w:ascii="Book Antiqua" w:hAnsi="Book Antiqua"/>
                <w:color w:val="000000" w:themeColor="text1"/>
                <w:sz w:val="20"/>
                <w:szCs w:val="20"/>
              </w:rPr>
            </w:pPr>
            <w:r w:rsidRPr="00CC5F25">
              <w:rPr>
                <w:rFonts w:ascii="Book Antiqua" w:hAnsi="Book Antiqua"/>
                <w:color w:val="000000" w:themeColor="text1"/>
                <w:sz w:val="20"/>
                <w:szCs w:val="20"/>
              </w:rPr>
              <w:t>QS. An-Nisa' [4]:171 secara tegas melarang </w:t>
            </w:r>
            <w:r w:rsidRPr="00CC5F25">
              <w:rPr>
                <w:rFonts w:ascii="Book Antiqua" w:hAnsi="Book Antiqua"/>
                <w:i/>
                <w:iCs/>
                <w:color w:val="000000" w:themeColor="text1"/>
                <w:sz w:val="20"/>
                <w:szCs w:val="20"/>
              </w:rPr>
              <w:t>ghuluw</w:t>
            </w:r>
            <w:r w:rsidRPr="00CC5F25">
              <w:rPr>
                <w:rFonts w:ascii="Book Antiqua" w:hAnsi="Book Antiqua"/>
                <w:color w:val="000000" w:themeColor="text1"/>
                <w:sz w:val="20"/>
                <w:szCs w:val="20"/>
              </w:rPr>
              <w:t> (melampaui batas) dalam beragama. Larangan ini bersifat universal dan menjadi fondasi pendidikan preventif untuk membentuk pola pikir seimbang dan objektif dalam memahami agama, serta membangun konsep pendidikan anti-ekstremisme berbasis Al-Qur'an.</w:t>
            </w:r>
          </w:p>
        </w:tc>
        <w:tc>
          <w:tcPr>
            <w:tcW w:w="2832" w:type="dxa"/>
            <w:tcBorders>
              <w:left w:val="nil"/>
              <w:bottom w:val="single" w:sz="4" w:space="0" w:color="auto"/>
              <w:right w:val="nil"/>
            </w:tcBorders>
          </w:tcPr>
          <w:p w14:paraId="708826E7" w14:textId="77777777" w:rsidR="00F943A6" w:rsidRPr="00CC5F25" w:rsidRDefault="00F943A6" w:rsidP="00072723">
            <w:pPr>
              <w:jc w:val="center"/>
              <w:rPr>
                <w:rFonts w:ascii="Book Antiqua" w:hAnsi="Book Antiqua"/>
                <w:color w:val="000000" w:themeColor="text1"/>
                <w:sz w:val="20"/>
                <w:szCs w:val="20"/>
              </w:rPr>
            </w:pPr>
          </w:p>
          <w:p w14:paraId="32496800" w14:textId="77777777" w:rsidR="00F943A6" w:rsidRPr="00CC5F25" w:rsidRDefault="00F943A6" w:rsidP="00072723">
            <w:pPr>
              <w:jc w:val="center"/>
              <w:rPr>
                <w:rFonts w:ascii="Book Antiqua" w:hAnsi="Book Antiqua"/>
                <w:color w:val="000000" w:themeColor="text1"/>
                <w:sz w:val="20"/>
                <w:szCs w:val="20"/>
              </w:rPr>
            </w:pPr>
          </w:p>
          <w:p w14:paraId="45279A0C" w14:textId="77777777" w:rsidR="00F943A6" w:rsidRPr="00CC5F25" w:rsidRDefault="00F943A6" w:rsidP="00072723">
            <w:pPr>
              <w:jc w:val="center"/>
              <w:rPr>
                <w:rFonts w:ascii="Book Antiqua" w:hAnsi="Book Antiqua"/>
                <w:color w:val="000000" w:themeColor="text1"/>
                <w:sz w:val="20"/>
                <w:szCs w:val="20"/>
              </w:rPr>
            </w:pPr>
          </w:p>
          <w:p w14:paraId="1B4D943B" w14:textId="77777777" w:rsidR="00F943A6" w:rsidRPr="00CC5F25" w:rsidRDefault="00F943A6" w:rsidP="00072723">
            <w:pPr>
              <w:jc w:val="center"/>
              <w:rPr>
                <w:rFonts w:ascii="Book Antiqua" w:hAnsi="Book Antiqua"/>
                <w:color w:val="000000" w:themeColor="text1"/>
                <w:sz w:val="20"/>
                <w:szCs w:val="20"/>
              </w:rPr>
            </w:pPr>
          </w:p>
          <w:p w14:paraId="0A3C550F" w14:textId="77777777" w:rsidR="00F943A6" w:rsidRPr="00CC5F25" w:rsidRDefault="00F943A6" w:rsidP="00072723">
            <w:pPr>
              <w:rPr>
                <w:rFonts w:ascii="Book Antiqua" w:hAnsi="Book Antiqua"/>
                <w:color w:val="000000" w:themeColor="text1"/>
                <w:sz w:val="20"/>
                <w:szCs w:val="20"/>
              </w:rPr>
            </w:pPr>
            <w:r w:rsidRPr="00CC5F25">
              <w:rPr>
                <w:rFonts w:ascii="Book Antiqua" w:hAnsi="Book Antiqua"/>
                <w:color w:val="000000" w:themeColor="text1"/>
                <w:sz w:val="20"/>
                <w:szCs w:val="20"/>
              </w:rPr>
              <w:t>(Shihab, 2002); Tafsir Al-Misbah; Tafsir Ibnu Katsir</w:t>
            </w:r>
          </w:p>
        </w:tc>
      </w:tr>
      <w:tr w:rsidR="00F943A6" w:rsidRPr="00CC5F25" w14:paraId="2219821F" w14:textId="77777777" w:rsidTr="00072723">
        <w:tc>
          <w:tcPr>
            <w:tcW w:w="2831" w:type="dxa"/>
            <w:tcBorders>
              <w:left w:val="nil"/>
              <w:bottom w:val="single" w:sz="4" w:space="0" w:color="auto"/>
              <w:right w:val="nil"/>
            </w:tcBorders>
          </w:tcPr>
          <w:p w14:paraId="24D571DA" w14:textId="77777777" w:rsidR="00F943A6" w:rsidRPr="00CC5F25" w:rsidRDefault="00F943A6" w:rsidP="00072723">
            <w:pPr>
              <w:rPr>
                <w:rFonts w:ascii="Book Antiqua" w:hAnsi="Book Antiqua"/>
                <w:b/>
                <w:bCs/>
                <w:color w:val="000000" w:themeColor="text1"/>
                <w:sz w:val="20"/>
                <w:szCs w:val="20"/>
              </w:rPr>
            </w:pPr>
          </w:p>
          <w:p w14:paraId="2B7D7EC8" w14:textId="77777777" w:rsidR="00F943A6" w:rsidRPr="00CC5F25" w:rsidRDefault="00F943A6" w:rsidP="00072723">
            <w:pPr>
              <w:rPr>
                <w:rFonts w:ascii="Book Antiqua" w:hAnsi="Book Antiqua"/>
                <w:b/>
                <w:bCs/>
                <w:color w:val="000000" w:themeColor="text1"/>
                <w:sz w:val="20"/>
                <w:szCs w:val="20"/>
              </w:rPr>
            </w:pPr>
          </w:p>
          <w:p w14:paraId="0875762F" w14:textId="77777777" w:rsidR="00F943A6" w:rsidRPr="00CC5F25" w:rsidRDefault="00F943A6" w:rsidP="00072723">
            <w:pPr>
              <w:rPr>
                <w:rFonts w:ascii="Book Antiqua" w:hAnsi="Book Antiqua"/>
                <w:b/>
                <w:bCs/>
                <w:color w:val="000000" w:themeColor="text1"/>
                <w:sz w:val="20"/>
                <w:szCs w:val="20"/>
              </w:rPr>
            </w:pPr>
          </w:p>
          <w:p w14:paraId="1D438D0B" w14:textId="77777777" w:rsidR="00F943A6" w:rsidRPr="00CC5F25" w:rsidRDefault="00F943A6" w:rsidP="00072723">
            <w:pPr>
              <w:rPr>
                <w:rFonts w:ascii="Book Antiqua" w:hAnsi="Book Antiqua"/>
                <w:b/>
                <w:bCs/>
                <w:color w:val="000000" w:themeColor="text1"/>
                <w:sz w:val="20"/>
                <w:szCs w:val="20"/>
              </w:rPr>
            </w:pPr>
            <w:r w:rsidRPr="00CC5F25">
              <w:rPr>
                <w:rFonts w:ascii="Book Antiqua" w:hAnsi="Book Antiqua"/>
                <w:b/>
                <w:bCs/>
                <w:color w:val="000000" w:themeColor="text1"/>
                <w:sz w:val="20"/>
                <w:szCs w:val="20"/>
              </w:rPr>
              <w:t>Nilai Moderasi (</w:t>
            </w:r>
            <w:r w:rsidRPr="00CC5F25">
              <w:rPr>
                <w:rFonts w:ascii="Book Antiqua" w:hAnsi="Book Antiqua"/>
                <w:b/>
                <w:bCs/>
                <w:i/>
                <w:iCs/>
                <w:color w:val="000000" w:themeColor="text1"/>
                <w:sz w:val="20"/>
                <w:szCs w:val="20"/>
              </w:rPr>
              <w:t>Wasathiyyah</w:t>
            </w:r>
            <w:r w:rsidRPr="00CC5F25">
              <w:rPr>
                <w:rFonts w:ascii="Book Antiqua" w:hAnsi="Book Antiqua"/>
                <w:b/>
                <w:bCs/>
                <w:color w:val="000000" w:themeColor="text1"/>
                <w:sz w:val="20"/>
                <w:szCs w:val="20"/>
              </w:rPr>
              <w:t>)</w:t>
            </w:r>
          </w:p>
        </w:tc>
        <w:tc>
          <w:tcPr>
            <w:tcW w:w="2832" w:type="dxa"/>
            <w:tcBorders>
              <w:top w:val="single" w:sz="4" w:space="0" w:color="auto"/>
              <w:left w:val="nil"/>
              <w:bottom w:val="single" w:sz="4" w:space="0" w:color="auto"/>
              <w:right w:val="nil"/>
            </w:tcBorders>
          </w:tcPr>
          <w:p w14:paraId="438699AA" w14:textId="77777777" w:rsidR="00F943A6" w:rsidRPr="00CC5F25" w:rsidRDefault="00F943A6" w:rsidP="00072723">
            <w:pPr>
              <w:jc w:val="both"/>
              <w:rPr>
                <w:rFonts w:ascii="Book Antiqua" w:hAnsi="Book Antiqua"/>
                <w:color w:val="000000" w:themeColor="text1"/>
                <w:sz w:val="20"/>
                <w:szCs w:val="20"/>
              </w:rPr>
            </w:pPr>
            <w:r w:rsidRPr="00CC5F25">
              <w:rPr>
                <w:rFonts w:ascii="Book Antiqua" w:hAnsi="Book Antiqua"/>
                <w:color w:val="000000" w:themeColor="text1"/>
                <w:sz w:val="20"/>
                <w:szCs w:val="20"/>
              </w:rPr>
              <w:t>Larangan </w:t>
            </w:r>
            <w:r w:rsidRPr="00CC5F25">
              <w:rPr>
                <w:rFonts w:ascii="Book Antiqua" w:hAnsi="Book Antiqua"/>
                <w:i/>
                <w:iCs/>
                <w:color w:val="000000" w:themeColor="text1"/>
                <w:sz w:val="20"/>
                <w:szCs w:val="20"/>
              </w:rPr>
              <w:t>ghuluw</w:t>
            </w:r>
            <w:r w:rsidRPr="00CC5F25">
              <w:rPr>
                <w:rFonts w:ascii="Book Antiqua" w:hAnsi="Book Antiqua"/>
                <w:color w:val="000000" w:themeColor="text1"/>
                <w:sz w:val="20"/>
                <w:szCs w:val="20"/>
              </w:rPr>
              <w:t> mengandung nilai </w:t>
            </w:r>
            <w:r w:rsidRPr="00CC5F25">
              <w:rPr>
                <w:rFonts w:ascii="Book Antiqua" w:hAnsi="Book Antiqua"/>
                <w:i/>
                <w:iCs/>
                <w:color w:val="000000" w:themeColor="text1"/>
                <w:sz w:val="20"/>
                <w:szCs w:val="20"/>
              </w:rPr>
              <w:t>wasathiyyah</w:t>
            </w:r>
            <w:r w:rsidRPr="00CC5F25">
              <w:rPr>
                <w:rFonts w:ascii="Book Antiqua" w:hAnsi="Book Antiqua"/>
                <w:color w:val="000000" w:themeColor="text1"/>
                <w:sz w:val="20"/>
                <w:szCs w:val="20"/>
              </w:rPr>
              <w:t xml:space="preserve"> (moderasi) sebagai karakter utama keberagamaan. Prinsip ini menempatkan manusia pada posisi tengah, menjaga keseimbangan antara spiritual-sosial, hak individu-masyarakat, serta teks-konteks, sehingga membentuk </w:t>
            </w:r>
            <w:r w:rsidRPr="00CC5F25">
              <w:rPr>
                <w:rFonts w:ascii="Book Antiqua" w:hAnsi="Book Antiqua"/>
                <w:color w:val="000000" w:themeColor="text1"/>
                <w:sz w:val="20"/>
                <w:szCs w:val="20"/>
              </w:rPr>
              <w:lastRenderedPageBreak/>
              <w:t>karakter muslim yang moderat, toleran, dan damai.</w:t>
            </w:r>
          </w:p>
        </w:tc>
        <w:tc>
          <w:tcPr>
            <w:tcW w:w="2832" w:type="dxa"/>
            <w:tcBorders>
              <w:left w:val="nil"/>
              <w:bottom w:val="single" w:sz="4" w:space="0" w:color="auto"/>
              <w:right w:val="nil"/>
            </w:tcBorders>
          </w:tcPr>
          <w:p w14:paraId="1DC1F137" w14:textId="77777777" w:rsidR="00F943A6" w:rsidRPr="00CC5F25" w:rsidRDefault="00F943A6" w:rsidP="00072723">
            <w:pPr>
              <w:rPr>
                <w:rFonts w:ascii="Book Antiqua" w:hAnsi="Book Antiqua"/>
                <w:color w:val="000000" w:themeColor="text1"/>
                <w:sz w:val="20"/>
                <w:szCs w:val="20"/>
              </w:rPr>
            </w:pPr>
          </w:p>
          <w:p w14:paraId="344F9862" w14:textId="77777777" w:rsidR="00F943A6" w:rsidRPr="00CC5F25" w:rsidRDefault="00F943A6" w:rsidP="00072723">
            <w:pPr>
              <w:rPr>
                <w:rFonts w:ascii="Book Antiqua" w:hAnsi="Book Antiqua"/>
                <w:color w:val="000000" w:themeColor="text1"/>
                <w:sz w:val="20"/>
                <w:szCs w:val="20"/>
              </w:rPr>
            </w:pPr>
          </w:p>
          <w:p w14:paraId="6C95B36D" w14:textId="77777777" w:rsidR="00F943A6" w:rsidRPr="00CC5F25" w:rsidRDefault="00F943A6" w:rsidP="00072723">
            <w:pPr>
              <w:rPr>
                <w:rFonts w:ascii="Book Antiqua" w:hAnsi="Book Antiqua"/>
                <w:color w:val="000000" w:themeColor="text1"/>
                <w:sz w:val="20"/>
                <w:szCs w:val="20"/>
              </w:rPr>
            </w:pPr>
          </w:p>
          <w:p w14:paraId="461155E8" w14:textId="77777777" w:rsidR="00F943A6" w:rsidRPr="00CC5F25" w:rsidRDefault="00F943A6" w:rsidP="00072723">
            <w:pPr>
              <w:rPr>
                <w:rFonts w:ascii="Book Antiqua" w:hAnsi="Book Antiqua"/>
                <w:color w:val="000000" w:themeColor="text1"/>
                <w:sz w:val="20"/>
                <w:szCs w:val="20"/>
              </w:rPr>
            </w:pPr>
            <w:r w:rsidRPr="00CC5F25">
              <w:rPr>
                <w:rFonts w:ascii="Book Antiqua" w:hAnsi="Book Antiqua"/>
                <w:color w:val="000000" w:themeColor="text1"/>
                <w:sz w:val="20"/>
                <w:szCs w:val="20"/>
              </w:rPr>
              <w:t>(Kamali, 2019); berbagai kitab tafsir</w:t>
            </w:r>
          </w:p>
        </w:tc>
      </w:tr>
      <w:tr w:rsidR="00F943A6" w:rsidRPr="00CC5F25" w14:paraId="79D44485" w14:textId="77777777" w:rsidTr="00072723">
        <w:tc>
          <w:tcPr>
            <w:tcW w:w="2831" w:type="dxa"/>
            <w:tcBorders>
              <w:left w:val="nil"/>
              <w:bottom w:val="single" w:sz="4" w:space="0" w:color="auto"/>
              <w:right w:val="nil"/>
            </w:tcBorders>
          </w:tcPr>
          <w:p w14:paraId="47A194C3" w14:textId="77777777" w:rsidR="00F943A6" w:rsidRPr="00CC5F25" w:rsidRDefault="00F943A6" w:rsidP="00072723">
            <w:pPr>
              <w:rPr>
                <w:rFonts w:ascii="Book Antiqua" w:hAnsi="Book Antiqua"/>
                <w:b/>
                <w:bCs/>
                <w:color w:val="000000" w:themeColor="text1"/>
                <w:sz w:val="20"/>
                <w:szCs w:val="20"/>
              </w:rPr>
            </w:pPr>
          </w:p>
          <w:p w14:paraId="1CD4CAD8" w14:textId="77777777" w:rsidR="00F943A6" w:rsidRPr="00CC5F25" w:rsidRDefault="00F943A6" w:rsidP="00072723">
            <w:pPr>
              <w:rPr>
                <w:rFonts w:ascii="Book Antiqua" w:hAnsi="Book Antiqua"/>
                <w:b/>
                <w:bCs/>
                <w:color w:val="000000" w:themeColor="text1"/>
                <w:sz w:val="20"/>
                <w:szCs w:val="20"/>
              </w:rPr>
            </w:pPr>
          </w:p>
          <w:p w14:paraId="2A767751" w14:textId="77777777" w:rsidR="00F943A6" w:rsidRPr="00CC5F25" w:rsidRDefault="00F943A6" w:rsidP="00072723">
            <w:pPr>
              <w:rPr>
                <w:rFonts w:ascii="Book Antiqua" w:hAnsi="Book Antiqua"/>
                <w:b/>
                <w:bCs/>
                <w:color w:val="000000" w:themeColor="text1"/>
                <w:sz w:val="20"/>
                <w:szCs w:val="20"/>
              </w:rPr>
            </w:pPr>
          </w:p>
          <w:p w14:paraId="1DCC36C5" w14:textId="77777777" w:rsidR="00F943A6" w:rsidRPr="00CC5F25" w:rsidRDefault="00F943A6" w:rsidP="00072723">
            <w:pPr>
              <w:rPr>
                <w:rFonts w:ascii="Book Antiqua" w:hAnsi="Book Antiqua"/>
                <w:b/>
                <w:bCs/>
                <w:color w:val="000000" w:themeColor="text1"/>
                <w:sz w:val="20"/>
                <w:szCs w:val="20"/>
              </w:rPr>
            </w:pPr>
          </w:p>
          <w:p w14:paraId="3E5DDCF6" w14:textId="77777777" w:rsidR="00F943A6" w:rsidRPr="00CC5F25" w:rsidRDefault="00F943A6" w:rsidP="00072723">
            <w:pPr>
              <w:rPr>
                <w:rFonts w:ascii="Book Antiqua" w:hAnsi="Book Antiqua"/>
                <w:b/>
                <w:bCs/>
                <w:color w:val="000000" w:themeColor="text1"/>
                <w:sz w:val="20"/>
                <w:szCs w:val="20"/>
              </w:rPr>
            </w:pPr>
            <w:r w:rsidRPr="00CC5F25">
              <w:rPr>
                <w:rFonts w:ascii="Book Antiqua" w:hAnsi="Book Antiqua"/>
                <w:b/>
                <w:bCs/>
                <w:color w:val="000000" w:themeColor="text1"/>
                <w:sz w:val="20"/>
                <w:szCs w:val="20"/>
              </w:rPr>
              <w:t>Pembentukan Sikap Kritis</w:t>
            </w:r>
          </w:p>
        </w:tc>
        <w:tc>
          <w:tcPr>
            <w:tcW w:w="2832" w:type="dxa"/>
            <w:tcBorders>
              <w:top w:val="single" w:sz="4" w:space="0" w:color="auto"/>
              <w:left w:val="nil"/>
              <w:bottom w:val="single" w:sz="4" w:space="0" w:color="auto"/>
              <w:right w:val="nil"/>
            </w:tcBorders>
          </w:tcPr>
          <w:p w14:paraId="31F2A874" w14:textId="77777777" w:rsidR="00F943A6" w:rsidRPr="00CC5F25" w:rsidRDefault="00F943A6" w:rsidP="00072723">
            <w:pPr>
              <w:jc w:val="both"/>
              <w:rPr>
                <w:rFonts w:ascii="Book Antiqua" w:hAnsi="Book Antiqua"/>
                <w:color w:val="000000" w:themeColor="text1"/>
                <w:sz w:val="20"/>
                <w:szCs w:val="20"/>
              </w:rPr>
            </w:pPr>
            <w:r w:rsidRPr="00CC5F25">
              <w:rPr>
                <w:rFonts w:ascii="Book Antiqua" w:hAnsi="Book Antiqua"/>
                <w:color w:val="000000" w:themeColor="text1"/>
                <w:sz w:val="20"/>
                <w:szCs w:val="20"/>
              </w:rPr>
              <w:t>Ayat ini mengajarkan pembentukan sikap kritis terhadap fanatisme agama yang berlebihan. Penyebab </w:t>
            </w:r>
            <w:r w:rsidRPr="00CC5F25">
              <w:rPr>
                <w:rFonts w:ascii="Book Antiqua" w:hAnsi="Book Antiqua"/>
                <w:i/>
                <w:iCs/>
                <w:color w:val="000000" w:themeColor="text1"/>
                <w:sz w:val="20"/>
                <w:szCs w:val="20"/>
              </w:rPr>
              <w:t>ghuluw</w:t>
            </w:r>
            <w:r w:rsidRPr="00CC5F25">
              <w:rPr>
                <w:rFonts w:ascii="Book Antiqua" w:hAnsi="Book Antiqua"/>
                <w:color w:val="000000" w:themeColor="text1"/>
                <w:sz w:val="20"/>
                <w:szCs w:val="20"/>
              </w:rPr>
              <w:t> adalah hilangnya objektivitas dan munculnya fanatisme buta. Pendidikan Islam perlu mengembangkan kemampuan berpikir reflektif, analitis, dan berbasis dialog untuk mencegah ekstremisme.</w:t>
            </w:r>
          </w:p>
        </w:tc>
        <w:tc>
          <w:tcPr>
            <w:tcW w:w="2832" w:type="dxa"/>
            <w:tcBorders>
              <w:left w:val="nil"/>
              <w:bottom w:val="single" w:sz="4" w:space="0" w:color="auto"/>
              <w:right w:val="nil"/>
            </w:tcBorders>
          </w:tcPr>
          <w:p w14:paraId="453530DF" w14:textId="77777777" w:rsidR="00F943A6" w:rsidRPr="00CC5F25" w:rsidRDefault="00F943A6" w:rsidP="00072723">
            <w:pPr>
              <w:rPr>
                <w:rFonts w:ascii="Book Antiqua" w:hAnsi="Book Antiqua"/>
                <w:color w:val="000000" w:themeColor="text1"/>
                <w:sz w:val="20"/>
                <w:szCs w:val="20"/>
              </w:rPr>
            </w:pPr>
          </w:p>
          <w:p w14:paraId="24A0C6D6" w14:textId="77777777" w:rsidR="00F943A6" w:rsidRPr="00CC5F25" w:rsidRDefault="00F943A6" w:rsidP="00072723">
            <w:pPr>
              <w:rPr>
                <w:rFonts w:ascii="Book Antiqua" w:hAnsi="Book Antiqua"/>
                <w:color w:val="000000" w:themeColor="text1"/>
                <w:sz w:val="20"/>
                <w:szCs w:val="20"/>
              </w:rPr>
            </w:pPr>
          </w:p>
          <w:p w14:paraId="46F8C1D4" w14:textId="77777777" w:rsidR="00F943A6" w:rsidRPr="00CC5F25" w:rsidRDefault="00F943A6" w:rsidP="00072723">
            <w:pPr>
              <w:rPr>
                <w:rFonts w:ascii="Book Antiqua" w:hAnsi="Book Antiqua"/>
                <w:color w:val="000000" w:themeColor="text1"/>
                <w:sz w:val="20"/>
                <w:szCs w:val="20"/>
              </w:rPr>
            </w:pPr>
          </w:p>
          <w:p w14:paraId="5030C3CC" w14:textId="77777777" w:rsidR="00F943A6" w:rsidRPr="00CC5F25" w:rsidRDefault="00F943A6" w:rsidP="00072723">
            <w:pPr>
              <w:rPr>
                <w:rFonts w:ascii="Book Antiqua" w:hAnsi="Book Antiqua"/>
                <w:color w:val="000000" w:themeColor="text1"/>
                <w:sz w:val="20"/>
                <w:szCs w:val="20"/>
              </w:rPr>
            </w:pPr>
            <w:r w:rsidRPr="00CC5F25">
              <w:rPr>
                <w:rFonts w:ascii="Book Antiqua" w:hAnsi="Book Antiqua"/>
                <w:color w:val="000000" w:themeColor="text1"/>
                <w:sz w:val="20"/>
                <w:szCs w:val="20"/>
              </w:rPr>
              <w:t>(Shihab, 2002); (Al-Syaibani, 1979); studi tentang radikalisme</w:t>
            </w:r>
          </w:p>
        </w:tc>
      </w:tr>
      <w:tr w:rsidR="00F943A6" w:rsidRPr="00CC5F25" w14:paraId="4F0F6B75" w14:textId="77777777" w:rsidTr="00072723">
        <w:tc>
          <w:tcPr>
            <w:tcW w:w="2831" w:type="dxa"/>
            <w:tcBorders>
              <w:top w:val="single" w:sz="4" w:space="0" w:color="auto"/>
              <w:left w:val="nil"/>
              <w:right w:val="nil"/>
            </w:tcBorders>
          </w:tcPr>
          <w:p w14:paraId="5F55933B" w14:textId="77777777" w:rsidR="00F943A6" w:rsidRPr="00CC5F25" w:rsidRDefault="00F943A6" w:rsidP="00072723">
            <w:pPr>
              <w:rPr>
                <w:rFonts w:ascii="Book Antiqua" w:hAnsi="Book Antiqua"/>
                <w:b/>
                <w:bCs/>
                <w:color w:val="000000" w:themeColor="text1"/>
                <w:sz w:val="20"/>
                <w:szCs w:val="20"/>
              </w:rPr>
            </w:pPr>
          </w:p>
          <w:p w14:paraId="70FE3471" w14:textId="77777777" w:rsidR="00F943A6" w:rsidRPr="00CC5F25" w:rsidRDefault="00F943A6" w:rsidP="00072723">
            <w:pPr>
              <w:rPr>
                <w:rFonts w:ascii="Book Antiqua" w:hAnsi="Book Antiqua"/>
                <w:b/>
                <w:bCs/>
                <w:color w:val="000000" w:themeColor="text1"/>
                <w:sz w:val="20"/>
                <w:szCs w:val="20"/>
              </w:rPr>
            </w:pPr>
          </w:p>
          <w:p w14:paraId="632ED679" w14:textId="77777777" w:rsidR="00F943A6" w:rsidRPr="00CC5F25" w:rsidRDefault="00F943A6" w:rsidP="00072723">
            <w:pPr>
              <w:rPr>
                <w:rFonts w:ascii="Book Antiqua" w:hAnsi="Book Antiqua"/>
                <w:b/>
                <w:bCs/>
                <w:color w:val="000000" w:themeColor="text1"/>
                <w:sz w:val="20"/>
                <w:szCs w:val="20"/>
              </w:rPr>
            </w:pPr>
          </w:p>
          <w:p w14:paraId="16E6D0E0" w14:textId="77777777" w:rsidR="00F943A6" w:rsidRPr="00CC5F25" w:rsidRDefault="00F943A6" w:rsidP="00072723">
            <w:pPr>
              <w:rPr>
                <w:rFonts w:ascii="Book Antiqua" w:hAnsi="Book Antiqua"/>
                <w:b/>
                <w:bCs/>
                <w:color w:val="000000" w:themeColor="text1"/>
                <w:sz w:val="20"/>
                <w:szCs w:val="20"/>
              </w:rPr>
            </w:pPr>
            <w:r w:rsidRPr="00CC5F25">
              <w:rPr>
                <w:rFonts w:ascii="Book Antiqua" w:hAnsi="Book Antiqua"/>
                <w:b/>
                <w:bCs/>
                <w:color w:val="000000" w:themeColor="text1"/>
                <w:sz w:val="20"/>
                <w:szCs w:val="20"/>
              </w:rPr>
              <w:t>Relevansi terhadap Tantangan Kontemporer</w:t>
            </w:r>
          </w:p>
        </w:tc>
        <w:tc>
          <w:tcPr>
            <w:tcW w:w="2832" w:type="dxa"/>
            <w:tcBorders>
              <w:top w:val="single" w:sz="4" w:space="0" w:color="auto"/>
              <w:left w:val="nil"/>
              <w:right w:val="nil"/>
            </w:tcBorders>
          </w:tcPr>
          <w:p w14:paraId="2FE7F0F3" w14:textId="77777777" w:rsidR="00F943A6" w:rsidRPr="00CC5F25" w:rsidRDefault="00F943A6" w:rsidP="00072723">
            <w:pPr>
              <w:jc w:val="both"/>
              <w:rPr>
                <w:rFonts w:ascii="Book Antiqua" w:hAnsi="Book Antiqua"/>
                <w:color w:val="000000" w:themeColor="text1"/>
                <w:sz w:val="20"/>
                <w:szCs w:val="20"/>
              </w:rPr>
            </w:pPr>
            <w:r w:rsidRPr="00CC5F25">
              <w:rPr>
                <w:rFonts w:ascii="Book Antiqua" w:hAnsi="Book Antiqua"/>
                <w:color w:val="000000" w:themeColor="text1"/>
                <w:sz w:val="20"/>
                <w:szCs w:val="20"/>
              </w:rPr>
              <w:t>Konsep anti-ekstremisme ini sangat relevan dengan era digital dan masyarakat plural. Nilai moderasi dan sikap kritis menjadi benteng ideologis dari penyebaran paham ekstrem di media sosial, serta membangun toleransi dan penghormatan terhadap perbedaan dalam masyarakat global modern.</w:t>
            </w:r>
          </w:p>
        </w:tc>
        <w:tc>
          <w:tcPr>
            <w:tcW w:w="2832" w:type="dxa"/>
            <w:tcBorders>
              <w:top w:val="single" w:sz="4" w:space="0" w:color="auto"/>
              <w:left w:val="nil"/>
              <w:right w:val="nil"/>
            </w:tcBorders>
          </w:tcPr>
          <w:p w14:paraId="7013705E" w14:textId="77777777" w:rsidR="00F943A6" w:rsidRPr="00CC5F25" w:rsidRDefault="00F943A6" w:rsidP="00072723">
            <w:pPr>
              <w:rPr>
                <w:rFonts w:ascii="Book Antiqua" w:hAnsi="Book Antiqua"/>
                <w:color w:val="000000" w:themeColor="text1"/>
                <w:sz w:val="20"/>
                <w:szCs w:val="20"/>
              </w:rPr>
            </w:pPr>
          </w:p>
          <w:p w14:paraId="34CABB0A" w14:textId="77777777" w:rsidR="00F943A6" w:rsidRPr="00CC5F25" w:rsidRDefault="00F943A6" w:rsidP="00072723">
            <w:pPr>
              <w:rPr>
                <w:rFonts w:ascii="Book Antiqua" w:hAnsi="Book Antiqua"/>
                <w:color w:val="000000" w:themeColor="text1"/>
                <w:sz w:val="20"/>
                <w:szCs w:val="20"/>
              </w:rPr>
            </w:pPr>
          </w:p>
          <w:p w14:paraId="60762FE5" w14:textId="77777777" w:rsidR="00F943A6" w:rsidRPr="00CC5F25" w:rsidRDefault="00F943A6" w:rsidP="00072723">
            <w:pPr>
              <w:rPr>
                <w:rFonts w:ascii="Book Antiqua" w:hAnsi="Book Antiqua"/>
                <w:color w:val="000000" w:themeColor="text1"/>
                <w:sz w:val="20"/>
                <w:szCs w:val="20"/>
              </w:rPr>
            </w:pPr>
          </w:p>
          <w:p w14:paraId="3118460D" w14:textId="77777777" w:rsidR="00F943A6" w:rsidRPr="00CC5F25" w:rsidRDefault="00F943A6" w:rsidP="00072723">
            <w:pPr>
              <w:rPr>
                <w:rFonts w:ascii="Book Antiqua" w:hAnsi="Book Antiqua"/>
                <w:color w:val="000000" w:themeColor="text1"/>
                <w:sz w:val="20"/>
                <w:szCs w:val="20"/>
              </w:rPr>
            </w:pPr>
          </w:p>
          <w:p w14:paraId="0B441CBE" w14:textId="77777777" w:rsidR="00F943A6" w:rsidRPr="00CC5F25" w:rsidRDefault="00F943A6" w:rsidP="00072723">
            <w:pPr>
              <w:rPr>
                <w:rFonts w:ascii="Book Antiqua" w:hAnsi="Book Antiqua"/>
                <w:color w:val="000000" w:themeColor="text1"/>
                <w:sz w:val="20"/>
                <w:szCs w:val="20"/>
              </w:rPr>
            </w:pPr>
            <w:r w:rsidRPr="00CC5F25">
              <w:rPr>
                <w:rFonts w:ascii="Book Antiqua" w:hAnsi="Book Antiqua"/>
                <w:color w:val="000000" w:themeColor="text1"/>
                <w:sz w:val="20"/>
                <w:szCs w:val="20"/>
              </w:rPr>
              <w:t>(Azra, A., &amp; Hidayat, 2020); (Abdullah, 2020)</w:t>
            </w:r>
          </w:p>
        </w:tc>
      </w:tr>
    </w:tbl>
    <w:p w14:paraId="1D9A3774" w14:textId="77777777" w:rsidR="00F943A6" w:rsidRPr="00B205F3" w:rsidRDefault="00F943A6" w:rsidP="00F943A6">
      <w:pPr>
        <w:widowControl/>
        <w:rPr>
          <w:rFonts w:ascii="Book Antiqua" w:hAnsi="Book Antiqua"/>
          <w:b/>
          <w:bCs/>
          <w:color w:val="000000" w:themeColor="text1"/>
          <w:sz w:val="24"/>
          <w:szCs w:val="24"/>
        </w:rPr>
      </w:pPr>
    </w:p>
    <w:p w14:paraId="404E2FB6" w14:textId="77777777" w:rsidR="00F943A6" w:rsidRDefault="00F943A6" w:rsidP="00F943A6">
      <w:pPr>
        <w:widowControl/>
        <w:rPr>
          <w:rFonts w:ascii="Book Antiqua" w:hAnsi="Book Antiqua"/>
          <w:b/>
          <w:bCs/>
          <w:color w:val="000000" w:themeColor="text1"/>
          <w:sz w:val="24"/>
          <w:szCs w:val="24"/>
        </w:rPr>
      </w:pPr>
    </w:p>
    <w:p w14:paraId="12893967" w14:textId="77777777" w:rsidR="00F943A6" w:rsidRPr="008C115A" w:rsidRDefault="00F943A6" w:rsidP="00F943A6">
      <w:pPr>
        <w:widowControl/>
        <w:rPr>
          <w:rFonts w:ascii="Book Antiqua" w:hAnsi="Book Antiqua"/>
          <w:b/>
          <w:bCs/>
          <w:color w:val="000000" w:themeColor="text1"/>
          <w:sz w:val="24"/>
          <w:szCs w:val="24"/>
        </w:rPr>
      </w:pPr>
      <w:proofErr w:type="gramStart"/>
      <w:r w:rsidRPr="008C115A">
        <w:rPr>
          <w:rFonts w:ascii="Book Antiqua" w:hAnsi="Book Antiqua"/>
          <w:b/>
          <w:bCs/>
          <w:color w:val="000000" w:themeColor="text1"/>
          <w:sz w:val="24"/>
          <w:szCs w:val="24"/>
        </w:rPr>
        <w:t>Larangan Ghuluw sebagai Dasar Pendidikan Anti-Ekstremisme dalam QS.</w:t>
      </w:r>
      <w:proofErr w:type="gramEnd"/>
      <w:r w:rsidRPr="008C115A">
        <w:rPr>
          <w:rFonts w:ascii="Book Antiqua" w:hAnsi="Book Antiqua"/>
          <w:b/>
          <w:bCs/>
          <w:color w:val="000000" w:themeColor="text1"/>
          <w:sz w:val="24"/>
          <w:szCs w:val="24"/>
        </w:rPr>
        <w:t xml:space="preserve"> An-Nisa' [4]:171</w:t>
      </w:r>
    </w:p>
    <w:p w14:paraId="356BE78E" w14:textId="77777777" w:rsidR="00F943A6" w:rsidRDefault="00F943A6" w:rsidP="00F943A6">
      <w:pPr>
        <w:widowControl/>
        <w:ind w:firstLine="709"/>
        <w:jc w:val="both"/>
        <w:rPr>
          <w:rFonts w:ascii="Book Antiqua" w:hAnsi="Book Antiqua"/>
          <w:color w:val="000000" w:themeColor="text1"/>
          <w:sz w:val="24"/>
          <w:szCs w:val="24"/>
        </w:rPr>
      </w:pPr>
      <w:proofErr w:type="gramStart"/>
      <w:r w:rsidRPr="008C115A">
        <w:rPr>
          <w:rFonts w:ascii="Book Antiqua" w:hAnsi="Book Antiqua"/>
          <w:color w:val="000000" w:themeColor="text1"/>
          <w:sz w:val="24"/>
          <w:szCs w:val="24"/>
        </w:rPr>
        <w:t>Berdasarkan hasil telaah terhadap berbagai kitab tafsir, ditemukan bahwa QS.</w:t>
      </w:r>
      <w:proofErr w:type="gramEnd"/>
      <w:r w:rsidRPr="008C115A">
        <w:rPr>
          <w:rFonts w:ascii="Book Antiqua" w:hAnsi="Book Antiqua"/>
          <w:color w:val="000000" w:themeColor="text1"/>
          <w:sz w:val="24"/>
          <w:szCs w:val="24"/>
        </w:rPr>
        <w:t xml:space="preserve"> An-Nisa' [4]:171 mengandung larangan yang sangat tegas terhadap praktik ghuluw dalam beragama. </w:t>
      </w:r>
      <w:proofErr w:type="gramStart"/>
      <w:r w:rsidRPr="008C115A">
        <w:rPr>
          <w:rFonts w:ascii="Book Antiqua" w:hAnsi="Book Antiqua"/>
          <w:color w:val="000000" w:themeColor="text1"/>
          <w:sz w:val="24"/>
          <w:szCs w:val="24"/>
        </w:rPr>
        <w:t>Ayat tersebut secara eksplisit menyatakan, "Yā ahlal-kitābi lā taghlū fī dīnikum" yang berarti "Wahai Ahli Kitab, janganlah kamu melampaui batas dalam agamamu."</w:t>
      </w:r>
      <w:proofErr w:type="gramEnd"/>
      <w:r w:rsidRPr="008C115A">
        <w:rPr>
          <w:rFonts w:ascii="Book Antiqua" w:hAnsi="Book Antiqua"/>
          <w:color w:val="000000" w:themeColor="text1"/>
          <w:sz w:val="24"/>
          <w:szCs w:val="24"/>
        </w:rPr>
        <w:t xml:space="preserve"> Menurut Quraish Shihab </w:t>
      </w:r>
      <w:r>
        <w:rPr>
          <w:rFonts w:ascii="Book Antiqua" w:hAnsi="Book Antiqua"/>
          <w:color w:val="000000" w:themeColor="text1"/>
          <w:sz w:val="24"/>
          <w:szCs w:val="24"/>
        </w:rPr>
        <w:fldChar w:fldCharType="begin" w:fldLock="1"/>
      </w:r>
      <w:r>
        <w:rPr>
          <w:rFonts w:ascii="Book Antiqua" w:hAnsi="Book Antiqua"/>
          <w:color w:val="000000" w:themeColor="text1"/>
          <w:sz w:val="24"/>
          <w:szCs w:val="24"/>
        </w:rPr>
        <w:instrText>ADDIN CSL_CITATION {"citationItems":[{"id":"ITEM-1","itemData":{"author":[{"dropping-particle":"","family":"Shihab","given":"M. Quraish.","non-dropping-particle":"","parse-names":false,"suffix":""}],"id":"ITEM-1","issued":{"date-parts":[["2002"]]},"publisher":"Lentera Hati","publisher-place":"Jakarta","title":"Tafsir Al-Misbah: Pesan, Kesan dan Keserasian Al-Qur'an.","type":"book"},"uris":["http://www.mendeley.com/documents/?uuid=6df74eb3-82ad-4bae-be61-54eb1c2b57dc"]}],"mendeley":{"formattedCitation":"(Shihab, 2002)","plainTextFormattedCitation":"(Shihab, 2002)","previouslyFormattedCitation":"(Shihab, 2002)"},"properties":{"noteIndex":0},"schema":"https://github.com/citation-style-language/schema/raw/master/csl-citation.json"}</w:instrText>
      </w:r>
      <w:r>
        <w:rPr>
          <w:rFonts w:ascii="Book Antiqua" w:hAnsi="Book Antiqua"/>
          <w:color w:val="000000" w:themeColor="text1"/>
          <w:sz w:val="24"/>
          <w:szCs w:val="24"/>
        </w:rPr>
        <w:fldChar w:fldCharType="separate"/>
      </w:r>
      <w:r w:rsidRPr="002446B8">
        <w:rPr>
          <w:rFonts w:ascii="Book Antiqua" w:hAnsi="Book Antiqua"/>
          <w:noProof/>
          <w:color w:val="000000" w:themeColor="text1"/>
          <w:sz w:val="24"/>
          <w:szCs w:val="24"/>
        </w:rPr>
        <w:t>(Shihab, 2002)</w:t>
      </w:r>
      <w:r>
        <w:rPr>
          <w:rFonts w:ascii="Book Antiqua" w:hAnsi="Book Antiqua"/>
          <w:color w:val="000000" w:themeColor="text1"/>
          <w:sz w:val="24"/>
          <w:szCs w:val="24"/>
        </w:rPr>
        <w:fldChar w:fldCharType="end"/>
      </w:r>
      <w:r w:rsidRPr="008C115A">
        <w:rPr>
          <w:rFonts w:ascii="Book Antiqua" w:hAnsi="Book Antiqua"/>
          <w:color w:val="000000" w:themeColor="text1"/>
          <w:sz w:val="24"/>
          <w:szCs w:val="24"/>
        </w:rPr>
        <w:t xml:space="preserve">, larangan tersebut tidak hanya ditujukan kepada umat terdahulu, tetapi juga mengandung pesan universal bagi seluruh umat manusia agar menghindari sikap berlebihan dalam memahami dan mengamalkan agama. </w:t>
      </w:r>
      <w:proofErr w:type="gramStart"/>
      <w:r w:rsidRPr="008C115A">
        <w:rPr>
          <w:rFonts w:ascii="Book Antiqua" w:hAnsi="Book Antiqua"/>
          <w:color w:val="000000" w:themeColor="text1"/>
          <w:sz w:val="24"/>
          <w:szCs w:val="24"/>
        </w:rPr>
        <w:t>Temuan ini menunjukkan bahwa Al-Qur'an telah memberikan peringatan dini terhadap munculnya perilaku ekstrem yang berpotensi merusak kehidupan individu maupun masyarakat.</w:t>
      </w:r>
      <w:proofErr w:type="gramEnd"/>
      <w:r w:rsidRPr="008C115A">
        <w:rPr>
          <w:rFonts w:ascii="Book Antiqua" w:hAnsi="Book Antiqua"/>
          <w:color w:val="000000" w:themeColor="text1"/>
          <w:sz w:val="24"/>
          <w:szCs w:val="24"/>
        </w:rPr>
        <w:t xml:space="preserve"> </w:t>
      </w:r>
      <w:proofErr w:type="gramStart"/>
      <w:r w:rsidRPr="008C115A">
        <w:rPr>
          <w:rFonts w:ascii="Book Antiqua" w:hAnsi="Book Antiqua"/>
          <w:color w:val="000000" w:themeColor="text1"/>
          <w:sz w:val="24"/>
          <w:szCs w:val="24"/>
        </w:rPr>
        <w:t>Dalam perspektif tafsir tarbawi, larangan ghuluw dapat dipahami sebagai upaya pendidikan preventif yang bertujuan membentuk pola pikir yang seimbang dan objektif dalam memahami agama.</w:t>
      </w:r>
      <w:proofErr w:type="gramEnd"/>
      <w:r w:rsidRPr="008C115A">
        <w:rPr>
          <w:rFonts w:ascii="Book Antiqua" w:hAnsi="Book Antiqua"/>
          <w:color w:val="000000" w:themeColor="text1"/>
          <w:sz w:val="24"/>
          <w:szCs w:val="24"/>
        </w:rPr>
        <w:t xml:space="preserve"> </w:t>
      </w:r>
      <w:proofErr w:type="gramStart"/>
      <w:r w:rsidRPr="008C115A">
        <w:rPr>
          <w:rFonts w:ascii="Book Antiqua" w:hAnsi="Book Antiqua"/>
          <w:color w:val="000000" w:themeColor="text1"/>
          <w:sz w:val="24"/>
          <w:szCs w:val="24"/>
        </w:rPr>
        <w:t>Oleh karena itu, ayat ini menjadi fondasi penting dalam membangun konsep pendidikan anti-ekstremisme yang berbasis pada nilai-nilai Al-Qur'an.</w:t>
      </w:r>
      <w:proofErr w:type="gramEnd"/>
    </w:p>
    <w:p w14:paraId="079F02D7" w14:textId="77777777" w:rsidR="00F943A6" w:rsidRPr="001F7E5E" w:rsidRDefault="00F943A6" w:rsidP="00F943A6">
      <w:pPr>
        <w:widowControl/>
        <w:rPr>
          <w:rFonts w:ascii="Book Antiqua" w:hAnsi="Book Antiqua"/>
          <w:b/>
          <w:bCs/>
          <w:color w:val="000000" w:themeColor="text1"/>
          <w:sz w:val="24"/>
          <w:szCs w:val="24"/>
        </w:rPr>
      </w:pPr>
      <w:r w:rsidRPr="001F7E5E">
        <w:rPr>
          <w:rFonts w:ascii="Book Antiqua" w:hAnsi="Book Antiqua"/>
          <w:b/>
          <w:bCs/>
          <w:color w:val="000000" w:themeColor="text1"/>
          <w:sz w:val="24"/>
          <w:szCs w:val="24"/>
        </w:rPr>
        <w:t>Nilai Moderasi (Wasathiyyah) sebagai Karakter Utama Keberagamaan</w:t>
      </w:r>
    </w:p>
    <w:p w14:paraId="7A3C93D2" w14:textId="77777777" w:rsidR="00F943A6" w:rsidRDefault="00F943A6" w:rsidP="00F943A6">
      <w:pPr>
        <w:widowControl/>
        <w:ind w:firstLine="709"/>
        <w:jc w:val="both"/>
        <w:rPr>
          <w:rFonts w:ascii="Book Antiqua" w:hAnsi="Book Antiqua"/>
          <w:color w:val="000000" w:themeColor="text1"/>
          <w:sz w:val="24"/>
          <w:szCs w:val="24"/>
        </w:rPr>
      </w:pPr>
      <w:proofErr w:type="gramStart"/>
      <w:r w:rsidRPr="001F7E5E">
        <w:rPr>
          <w:rFonts w:ascii="Book Antiqua" w:hAnsi="Book Antiqua"/>
          <w:color w:val="000000" w:themeColor="text1"/>
          <w:sz w:val="24"/>
          <w:szCs w:val="24"/>
        </w:rPr>
        <w:t>Hasil analisis menunjukkan bahwa larangan ghuluw dalam QS.</w:t>
      </w:r>
      <w:proofErr w:type="gramEnd"/>
      <w:r w:rsidRPr="001F7E5E">
        <w:rPr>
          <w:rFonts w:ascii="Book Antiqua" w:hAnsi="Book Antiqua"/>
          <w:color w:val="000000" w:themeColor="text1"/>
          <w:sz w:val="24"/>
          <w:szCs w:val="24"/>
        </w:rPr>
        <w:t xml:space="preserve"> An-Nisa' [4]:171 secara implisit mengandung nilai wasathiyyah atau moderasi sebagai karakter utama keberagamaan yang ideal. Kamali </w:t>
      </w:r>
      <w:r>
        <w:rPr>
          <w:rFonts w:ascii="Book Antiqua" w:hAnsi="Book Antiqua"/>
          <w:color w:val="000000" w:themeColor="text1"/>
          <w:sz w:val="24"/>
          <w:szCs w:val="24"/>
        </w:rPr>
        <w:fldChar w:fldCharType="begin" w:fldLock="1"/>
      </w:r>
      <w:r>
        <w:rPr>
          <w:rFonts w:ascii="Book Antiqua" w:hAnsi="Book Antiqua"/>
          <w:color w:val="000000" w:themeColor="text1"/>
          <w:sz w:val="24"/>
          <w:szCs w:val="24"/>
        </w:rPr>
        <w:instrText>ADDIN CSL_CITATION {"citationItems":[{"id":"ITEM-1","itemData":{"author":[{"dropping-particle":"","family":"Kamali","given":"M. H.","non-dropping-particle":"","parse-names":false,"suffix":""}],"container-title":"Proceedings of the International Conference on Islamic Moderation, Oxford University","id":"ITEM-1","issued":{"date-parts":[["2019"]]},"page":"45-62.","title":"Wasatiyyah as a Framework for Countering Extremism.","type":"paper-conference"},"uris":["http://www.mendeley.com/documents/?uuid=8bb66a50-0306-476b-a024-f4298db7e927"]}],"mendeley":{"formattedCitation":"(Kamali, 2019)","plainTextFormattedCitation":"(Kamali, 2019)","previouslyFormattedCitation":"(Kamali, 2019)"},"properties":{"noteIndex":0},"schema":"https://github.com/citation-style-language/schema/raw/master/csl-citation.json"}</w:instrText>
      </w:r>
      <w:r>
        <w:rPr>
          <w:rFonts w:ascii="Book Antiqua" w:hAnsi="Book Antiqua"/>
          <w:color w:val="000000" w:themeColor="text1"/>
          <w:sz w:val="24"/>
          <w:szCs w:val="24"/>
        </w:rPr>
        <w:fldChar w:fldCharType="separate"/>
      </w:r>
      <w:r w:rsidRPr="002D47D1">
        <w:rPr>
          <w:rFonts w:ascii="Book Antiqua" w:hAnsi="Book Antiqua"/>
          <w:noProof/>
          <w:color w:val="000000" w:themeColor="text1"/>
          <w:sz w:val="24"/>
          <w:szCs w:val="24"/>
        </w:rPr>
        <w:t>(Kamali, 2019)</w:t>
      </w:r>
      <w:r>
        <w:rPr>
          <w:rFonts w:ascii="Book Antiqua" w:hAnsi="Book Antiqua"/>
          <w:color w:val="000000" w:themeColor="text1"/>
          <w:sz w:val="24"/>
          <w:szCs w:val="24"/>
        </w:rPr>
        <w:fldChar w:fldCharType="end"/>
      </w:r>
      <w:r w:rsidRPr="001F7E5E">
        <w:rPr>
          <w:rFonts w:ascii="Book Antiqua" w:hAnsi="Book Antiqua"/>
          <w:color w:val="000000" w:themeColor="text1"/>
          <w:sz w:val="24"/>
          <w:szCs w:val="24"/>
        </w:rPr>
        <w:t xml:space="preserve"> menjelaskan bahwa moderasi merupakan prinsip yang menempatkan manusia pada posisi tengah sehingga terhindar dari kecenderungan ekstrem kanan maupun ekstrem kiri. </w:t>
      </w:r>
      <w:proofErr w:type="gramStart"/>
      <w:r w:rsidRPr="001F7E5E">
        <w:rPr>
          <w:rFonts w:ascii="Book Antiqua" w:hAnsi="Book Antiqua"/>
          <w:color w:val="000000" w:themeColor="text1"/>
          <w:sz w:val="24"/>
          <w:szCs w:val="24"/>
        </w:rPr>
        <w:t xml:space="preserve">Dalam berbagai kitab tafsir dijelaskan bahwa Islam mengajarkan keseimbangan antara aspek spiritual dan sosial, antara hak individu dan hak </w:t>
      </w:r>
      <w:r w:rsidRPr="001F7E5E">
        <w:rPr>
          <w:rFonts w:ascii="Book Antiqua" w:hAnsi="Book Antiqua"/>
          <w:color w:val="000000" w:themeColor="text1"/>
          <w:sz w:val="24"/>
          <w:szCs w:val="24"/>
        </w:rPr>
        <w:lastRenderedPageBreak/>
        <w:t>masyarakat, serta antara teks dan konteks dalam memahami ajaran agama.</w:t>
      </w:r>
      <w:proofErr w:type="gramEnd"/>
      <w:r w:rsidRPr="001F7E5E">
        <w:rPr>
          <w:rFonts w:ascii="Book Antiqua" w:hAnsi="Book Antiqua"/>
          <w:color w:val="000000" w:themeColor="text1"/>
          <w:sz w:val="24"/>
          <w:szCs w:val="24"/>
        </w:rPr>
        <w:t xml:space="preserve"> </w:t>
      </w:r>
      <w:proofErr w:type="gramStart"/>
      <w:r w:rsidRPr="001F7E5E">
        <w:rPr>
          <w:rFonts w:ascii="Book Antiqua" w:hAnsi="Book Antiqua"/>
          <w:color w:val="000000" w:themeColor="text1"/>
          <w:sz w:val="24"/>
          <w:szCs w:val="24"/>
        </w:rPr>
        <w:t>Data menunjukkan bahwa para mufasir menempatkan larangan ghuluw sebagai instrumen untuk menjaga keseimbangan tersebut agar tidak terjadi penyimpangan dalam praktik keagamaan.</w:t>
      </w:r>
      <w:proofErr w:type="gramEnd"/>
      <w:r w:rsidRPr="001F7E5E">
        <w:rPr>
          <w:rFonts w:ascii="Book Antiqua" w:hAnsi="Book Antiqua"/>
          <w:color w:val="000000" w:themeColor="text1"/>
          <w:sz w:val="24"/>
          <w:szCs w:val="24"/>
        </w:rPr>
        <w:t xml:space="preserve"> Nilai moderasi ini juga tercermin dalam berbagai ajaran Rasulullah saw. </w:t>
      </w:r>
      <w:proofErr w:type="gramStart"/>
      <w:r w:rsidRPr="001F7E5E">
        <w:rPr>
          <w:rFonts w:ascii="Book Antiqua" w:hAnsi="Book Antiqua"/>
          <w:color w:val="000000" w:themeColor="text1"/>
          <w:sz w:val="24"/>
          <w:szCs w:val="24"/>
        </w:rPr>
        <w:t>yang</w:t>
      </w:r>
      <w:proofErr w:type="gramEnd"/>
      <w:r w:rsidRPr="001F7E5E">
        <w:rPr>
          <w:rFonts w:ascii="Book Antiqua" w:hAnsi="Book Antiqua"/>
          <w:color w:val="000000" w:themeColor="text1"/>
          <w:sz w:val="24"/>
          <w:szCs w:val="24"/>
        </w:rPr>
        <w:t xml:space="preserve"> selalu menolak sikap berlebihan dalam ibadah maupun kehidupan sosial. </w:t>
      </w:r>
      <w:proofErr w:type="gramStart"/>
      <w:r w:rsidRPr="001F7E5E">
        <w:rPr>
          <w:rFonts w:ascii="Book Antiqua" w:hAnsi="Book Antiqua"/>
          <w:color w:val="000000" w:themeColor="text1"/>
          <w:sz w:val="24"/>
          <w:szCs w:val="24"/>
        </w:rPr>
        <w:t>Dengan demikian, konsep wasathiyyah yang terkandung dalam QS.</w:t>
      </w:r>
      <w:proofErr w:type="gramEnd"/>
      <w:r w:rsidRPr="001F7E5E">
        <w:rPr>
          <w:rFonts w:ascii="Book Antiqua" w:hAnsi="Book Antiqua"/>
          <w:color w:val="000000" w:themeColor="text1"/>
          <w:sz w:val="24"/>
          <w:szCs w:val="24"/>
        </w:rPr>
        <w:t xml:space="preserve"> An-Nisa' [4]:171 menjadi dasar penting dalam membentuk karakter </w:t>
      </w:r>
      <w:proofErr w:type="gramStart"/>
      <w:r w:rsidRPr="001F7E5E">
        <w:rPr>
          <w:rFonts w:ascii="Book Antiqua" w:hAnsi="Book Antiqua"/>
          <w:color w:val="000000" w:themeColor="text1"/>
          <w:sz w:val="24"/>
          <w:szCs w:val="24"/>
        </w:rPr>
        <w:t>muslim</w:t>
      </w:r>
      <w:proofErr w:type="gramEnd"/>
      <w:r w:rsidRPr="001F7E5E">
        <w:rPr>
          <w:rFonts w:ascii="Book Antiqua" w:hAnsi="Book Antiqua"/>
          <w:color w:val="000000" w:themeColor="text1"/>
          <w:sz w:val="24"/>
          <w:szCs w:val="24"/>
        </w:rPr>
        <w:t xml:space="preserve"> yang moderat, toleran, dan mampu hidup berdampingan dengan berbagai kelompok masyarakat secara damai.</w:t>
      </w:r>
      <w:r w:rsidRPr="009C6D4D">
        <w:rPr>
          <w:rFonts w:ascii="Segoe UI" w:hAnsi="Segoe UI" w:cs="Segoe UI"/>
          <w:color w:val="0F1115"/>
          <w:shd w:val="clear" w:color="auto" w:fill="FFFFFF"/>
        </w:rPr>
        <w:t xml:space="preserve"> </w:t>
      </w:r>
      <w:proofErr w:type="gramStart"/>
      <w:r w:rsidRPr="009C6D4D">
        <w:rPr>
          <w:rFonts w:ascii="Book Antiqua" w:hAnsi="Book Antiqua"/>
          <w:color w:val="000000" w:themeColor="text1"/>
          <w:sz w:val="24"/>
          <w:szCs w:val="24"/>
        </w:rPr>
        <w:t>Integrasi nilai wasathiyyah dalam QS.</w:t>
      </w:r>
      <w:proofErr w:type="gramEnd"/>
      <w:r w:rsidRPr="009C6D4D">
        <w:rPr>
          <w:rFonts w:ascii="Book Antiqua" w:hAnsi="Book Antiqua"/>
          <w:color w:val="000000" w:themeColor="text1"/>
          <w:sz w:val="24"/>
          <w:szCs w:val="24"/>
        </w:rPr>
        <w:t xml:space="preserve"> An-Nisa' [4]:171 semakin diperkuat ketika ditinjau melalui perspektif tafsir tarbawi (pendidikan) yang dikemukakan oleh Fas</w:t>
      </w:r>
      <w:r>
        <w:rPr>
          <w:rFonts w:ascii="Book Antiqua" w:hAnsi="Book Antiqua"/>
          <w:color w:val="000000" w:themeColor="text1"/>
          <w:sz w:val="24"/>
          <w:szCs w:val="24"/>
        </w:rPr>
        <w:t>a</w:t>
      </w:r>
      <w:r w:rsidRPr="009C6D4D">
        <w:rPr>
          <w:rFonts w:ascii="Book Antiqua" w:hAnsi="Book Antiqua"/>
          <w:color w:val="000000" w:themeColor="text1"/>
          <w:sz w:val="24"/>
          <w:szCs w:val="24"/>
        </w:rPr>
        <w:t xml:space="preserve">dena, Huda, Hasan, &amp; Cholid </w:t>
      </w:r>
      <w:r>
        <w:rPr>
          <w:rFonts w:ascii="Book Antiqua" w:hAnsi="Book Antiqua"/>
          <w:color w:val="000000" w:themeColor="text1"/>
          <w:sz w:val="24"/>
          <w:szCs w:val="24"/>
        </w:rPr>
        <w:fldChar w:fldCharType="begin" w:fldLock="1"/>
      </w:r>
      <w:r>
        <w:rPr>
          <w:rFonts w:ascii="Book Antiqua" w:hAnsi="Book Antiqua"/>
          <w:color w:val="000000" w:themeColor="text1"/>
          <w:sz w:val="24"/>
          <w:szCs w:val="24"/>
        </w:rPr>
        <w:instrText>ADDIN CSL_CITATION {"citationItems":[{"id":"ITEM-1","itemData":{"author":[{"dropping-particle":"","family":"FASADENA., Huda, N., Hasan, Z., &amp; Cholid","given":"N.","non-dropping-particle":"","parse-names":false,"suffix":""}],"container-title":"AL-ADABIYAH Jurnal Pendidikan Agama Islam,","id":"ITEM-1","issue":"1","issued":{"date-parts":[["2023"]]},"title":"Konsep Moderasi Beragama Dalam Tafsir Tarbawi Qs. Al-Baqarah: 62.","type":"article-journal","volume":"4"},"uris":["http://www.mendeley.com/documents/?uuid=c3e6aa7e-da1a-4d6d-a9df-14b0a87d7940"]}],"mendeley":{"formattedCitation":"(FASADENA., Huda, N., Hasan, Z., &amp; Cholid, 2023)","plainTextFormattedCitation":"(FASADENA., Huda, N., Hasan, Z., &amp; Cholid, 2023)","previouslyFormattedCitation":"(FASADENA., Huda, N., Hasan, Z., &amp; Cholid, 2023)"},"properties":{"noteIndex":0},"schema":"https://github.com/citation-style-language/schema/raw/master/csl-citation.json"}</w:instrText>
      </w:r>
      <w:r>
        <w:rPr>
          <w:rFonts w:ascii="Book Antiqua" w:hAnsi="Book Antiqua"/>
          <w:color w:val="000000" w:themeColor="text1"/>
          <w:sz w:val="24"/>
          <w:szCs w:val="24"/>
        </w:rPr>
        <w:fldChar w:fldCharType="separate"/>
      </w:r>
      <w:r w:rsidRPr="009C6D4D">
        <w:rPr>
          <w:rFonts w:ascii="Book Antiqua" w:hAnsi="Book Antiqua"/>
          <w:noProof/>
          <w:color w:val="000000" w:themeColor="text1"/>
          <w:sz w:val="24"/>
          <w:szCs w:val="24"/>
        </w:rPr>
        <w:t>(FASADENA., Huda, N., Hasan, Z., &amp; Cholid, 2023)</w:t>
      </w:r>
      <w:r>
        <w:rPr>
          <w:rFonts w:ascii="Book Antiqua" w:hAnsi="Book Antiqua"/>
          <w:color w:val="000000" w:themeColor="text1"/>
          <w:sz w:val="24"/>
          <w:szCs w:val="24"/>
        </w:rPr>
        <w:fldChar w:fldCharType="end"/>
      </w:r>
      <w:r w:rsidRPr="009C6D4D">
        <w:rPr>
          <w:rFonts w:ascii="Book Antiqua" w:hAnsi="Book Antiqua"/>
          <w:color w:val="000000" w:themeColor="text1"/>
          <w:sz w:val="24"/>
          <w:szCs w:val="24"/>
        </w:rPr>
        <w:t xml:space="preserve">. </w:t>
      </w:r>
      <w:proofErr w:type="gramStart"/>
      <w:r w:rsidRPr="009C6D4D">
        <w:rPr>
          <w:rFonts w:ascii="Book Antiqua" w:hAnsi="Book Antiqua"/>
          <w:color w:val="000000" w:themeColor="text1"/>
          <w:sz w:val="24"/>
          <w:szCs w:val="24"/>
        </w:rPr>
        <w:t>Dalam kajian mereka terhadap QS.</w:t>
      </w:r>
      <w:proofErr w:type="gramEnd"/>
      <w:r w:rsidRPr="009C6D4D">
        <w:rPr>
          <w:rFonts w:ascii="Book Antiqua" w:hAnsi="Book Antiqua"/>
          <w:color w:val="000000" w:themeColor="text1"/>
          <w:sz w:val="24"/>
          <w:szCs w:val="24"/>
        </w:rPr>
        <w:t xml:space="preserve"> Al-Baqarah [2]:62, para peneliti tersebut menegaskan bahwa moderasi beragama bukan sekadar sikap pertengahan, melainkan sebuah pendekatan pendidikan yang aktif dalam membentuk karakter peserta didik agar mampu memahami agama secara komprehensif dan kontekstual. Mereka menjelaskan bahwa tafsir tarbawi menekankan pentingnya internalisasi nilai-nilai moderasi melalui proses pembelajaran yang tidak hanya berorientasi pada aspek kognitif (pengetahuan), tetapi juga afektif (sikap) dan psikomotorik (perilaku). </w:t>
      </w:r>
      <w:proofErr w:type="gramStart"/>
      <w:r w:rsidRPr="009C6D4D">
        <w:rPr>
          <w:rFonts w:ascii="Book Antiqua" w:hAnsi="Book Antiqua"/>
          <w:color w:val="000000" w:themeColor="text1"/>
          <w:sz w:val="24"/>
          <w:szCs w:val="24"/>
        </w:rPr>
        <w:t>Dalam hal ini, larangan ghuluw dalam QS.</w:t>
      </w:r>
      <w:proofErr w:type="gramEnd"/>
      <w:r w:rsidRPr="009C6D4D">
        <w:rPr>
          <w:rFonts w:ascii="Book Antiqua" w:hAnsi="Book Antiqua"/>
          <w:color w:val="000000" w:themeColor="text1"/>
          <w:sz w:val="24"/>
          <w:szCs w:val="24"/>
        </w:rPr>
        <w:t xml:space="preserve"> An-Nisa' [4]:171 sejalan dengan temuan Fasdena dkk. </w:t>
      </w:r>
      <w:proofErr w:type="gramStart"/>
      <w:r w:rsidRPr="009C6D4D">
        <w:rPr>
          <w:rFonts w:ascii="Book Antiqua" w:hAnsi="Book Antiqua"/>
          <w:color w:val="000000" w:themeColor="text1"/>
          <w:sz w:val="24"/>
          <w:szCs w:val="24"/>
        </w:rPr>
        <w:t>bahwa</w:t>
      </w:r>
      <w:proofErr w:type="gramEnd"/>
      <w:r w:rsidRPr="009C6D4D">
        <w:rPr>
          <w:rFonts w:ascii="Book Antiqua" w:hAnsi="Book Antiqua"/>
          <w:color w:val="000000" w:themeColor="text1"/>
          <w:sz w:val="24"/>
          <w:szCs w:val="24"/>
        </w:rPr>
        <w:t xml:space="preserve"> ayat-ayat Al-Qur'an yang mengandung prinsip moderasi harus diajarkan dengan pendekatan yang menyeimbangkan antara pemahaman tekstual dan kontekstual, sehingga umat tidak terjebak pada sikap ekstrem dalam beribadah maupun berinteraksi sosial. </w:t>
      </w:r>
      <w:proofErr w:type="gramStart"/>
      <w:r w:rsidRPr="009C6D4D">
        <w:rPr>
          <w:rFonts w:ascii="Book Antiqua" w:hAnsi="Book Antiqua"/>
          <w:color w:val="000000" w:themeColor="text1"/>
          <w:sz w:val="24"/>
          <w:szCs w:val="24"/>
        </w:rPr>
        <w:t>Lebih lanjut, studi mereka juga mengungkapkan bahwa moderasi beragama dalam perspektif tafsir tarbawi berfungsi sebagai instrumen preventif terhadap radikalisme dan intoleransi, khususnya di lingkungan pendidikan.</w:t>
      </w:r>
      <w:proofErr w:type="gramEnd"/>
      <w:r w:rsidRPr="009C6D4D">
        <w:rPr>
          <w:rFonts w:ascii="Book Antiqua" w:hAnsi="Book Antiqua"/>
          <w:color w:val="000000" w:themeColor="text1"/>
          <w:sz w:val="24"/>
          <w:szCs w:val="24"/>
        </w:rPr>
        <w:t xml:space="preserve"> </w:t>
      </w:r>
      <w:proofErr w:type="gramStart"/>
      <w:r w:rsidRPr="009C6D4D">
        <w:rPr>
          <w:rFonts w:ascii="Book Antiqua" w:hAnsi="Book Antiqua"/>
          <w:color w:val="000000" w:themeColor="text1"/>
          <w:sz w:val="24"/>
          <w:szCs w:val="24"/>
        </w:rPr>
        <w:t>Dengan demikian, penggabungan antara larangan ghuluw dalam QS.</w:t>
      </w:r>
      <w:proofErr w:type="gramEnd"/>
      <w:r w:rsidRPr="009C6D4D">
        <w:rPr>
          <w:rFonts w:ascii="Book Antiqua" w:hAnsi="Book Antiqua"/>
          <w:color w:val="000000" w:themeColor="text1"/>
          <w:sz w:val="24"/>
          <w:szCs w:val="24"/>
        </w:rPr>
        <w:t xml:space="preserve"> An-Nisa' [4]:171 dan konsep moderasi dalam QS. Al-Baqarah [2]:62 sebagaimana dikaji Fasdena dkk. </w:t>
      </w:r>
      <w:proofErr w:type="gramStart"/>
      <w:r w:rsidRPr="009C6D4D">
        <w:rPr>
          <w:rFonts w:ascii="Book Antiqua" w:hAnsi="Book Antiqua"/>
          <w:color w:val="000000" w:themeColor="text1"/>
          <w:sz w:val="24"/>
          <w:szCs w:val="24"/>
        </w:rPr>
        <w:t>mempertegas</w:t>
      </w:r>
      <w:proofErr w:type="gramEnd"/>
      <w:r w:rsidRPr="009C6D4D">
        <w:rPr>
          <w:rFonts w:ascii="Book Antiqua" w:hAnsi="Book Antiqua"/>
          <w:color w:val="000000" w:themeColor="text1"/>
          <w:sz w:val="24"/>
          <w:szCs w:val="24"/>
        </w:rPr>
        <w:t xml:space="preserve"> bahwa nilai wasathiyyah tidak hanya bersifat teologis, tetapi juga pedagogis—yakni harus ditanamkan secara sistematis melalui kurikulum dan metode pengajaran yang moderat, agar generasi muslim tumbuh menjadi pribadi yang seimbang, toleran, dan adaptif terhadap dinamika sosial tanpa kehilangan identitas keagamaannya.</w:t>
      </w:r>
    </w:p>
    <w:p w14:paraId="00FFD575" w14:textId="77777777" w:rsidR="00F943A6" w:rsidRPr="001F7E5E" w:rsidRDefault="00F943A6" w:rsidP="00F943A6">
      <w:pPr>
        <w:widowControl/>
        <w:jc w:val="both"/>
        <w:rPr>
          <w:rFonts w:ascii="Book Antiqua" w:hAnsi="Book Antiqua"/>
          <w:b/>
          <w:bCs/>
          <w:color w:val="000000" w:themeColor="text1"/>
          <w:sz w:val="24"/>
          <w:szCs w:val="24"/>
        </w:rPr>
      </w:pPr>
      <w:r w:rsidRPr="001F7E5E">
        <w:rPr>
          <w:rFonts w:ascii="Book Antiqua" w:hAnsi="Book Antiqua"/>
          <w:b/>
          <w:bCs/>
          <w:color w:val="000000" w:themeColor="text1"/>
          <w:sz w:val="24"/>
          <w:szCs w:val="24"/>
        </w:rPr>
        <w:t>Pembentukan Sikap Kritis terhadap Fanatisme Keagamaan</w:t>
      </w:r>
    </w:p>
    <w:p w14:paraId="71AC87D9" w14:textId="77777777" w:rsidR="00F943A6" w:rsidRPr="001F7E5E" w:rsidRDefault="00F943A6" w:rsidP="00F943A6">
      <w:pPr>
        <w:widowControl/>
        <w:ind w:firstLine="709"/>
        <w:jc w:val="both"/>
        <w:rPr>
          <w:rFonts w:ascii="Book Antiqua" w:hAnsi="Book Antiqua"/>
          <w:color w:val="000000" w:themeColor="text1"/>
          <w:sz w:val="24"/>
          <w:szCs w:val="24"/>
        </w:rPr>
      </w:pPr>
      <w:proofErr w:type="gramStart"/>
      <w:r w:rsidRPr="001F7E5E">
        <w:rPr>
          <w:rFonts w:ascii="Book Antiqua" w:hAnsi="Book Antiqua"/>
          <w:color w:val="000000" w:themeColor="text1"/>
          <w:sz w:val="24"/>
          <w:szCs w:val="24"/>
        </w:rPr>
        <w:t>Hasil penelitian menunjukkan bahwa QS.</w:t>
      </w:r>
      <w:proofErr w:type="gramEnd"/>
      <w:r w:rsidRPr="001F7E5E">
        <w:rPr>
          <w:rFonts w:ascii="Book Antiqua" w:hAnsi="Book Antiqua"/>
          <w:color w:val="000000" w:themeColor="text1"/>
          <w:sz w:val="24"/>
          <w:szCs w:val="24"/>
        </w:rPr>
        <w:t xml:space="preserve"> An-Nisa' [4]:171 tidak hanya melarang ghuluw dalam bentuk perilaku, tetapi juga mengandung pendidikan untuk membangun sikap kritis terhadap berbagai bentuk fanatisme keagamaan yang berlebihan. Berdasarkan telaah terhadap Tafsir Al-Misbah, dan Tafsir Ibnu Katsir, ditemukan bahwa penyebab utama munculnya ghuluw adalah hilangnya sikap objektif dalam memahami ajaran agama sehingga seseorang cenderung menganggap kelompoknya paling benar dan menolak pandangan </w:t>
      </w:r>
      <w:proofErr w:type="gramStart"/>
      <w:r w:rsidRPr="001F7E5E">
        <w:rPr>
          <w:rFonts w:ascii="Book Antiqua" w:hAnsi="Book Antiqua"/>
          <w:color w:val="000000" w:themeColor="text1"/>
          <w:sz w:val="24"/>
          <w:szCs w:val="24"/>
        </w:rPr>
        <w:t>lain</w:t>
      </w:r>
      <w:proofErr w:type="gramEnd"/>
      <w:r w:rsidRPr="001F7E5E">
        <w:rPr>
          <w:rFonts w:ascii="Book Antiqua" w:hAnsi="Book Antiqua"/>
          <w:color w:val="000000" w:themeColor="text1"/>
          <w:sz w:val="24"/>
          <w:szCs w:val="24"/>
        </w:rPr>
        <w:t xml:space="preserve"> secara mutlak. Quraish Shihab</w:t>
      </w:r>
      <w:r>
        <w:rPr>
          <w:rFonts w:ascii="Book Antiqua" w:hAnsi="Book Antiqua"/>
          <w:color w:val="000000" w:themeColor="text1"/>
          <w:sz w:val="24"/>
          <w:szCs w:val="24"/>
        </w:rPr>
        <w:t xml:space="preserve"> </w:t>
      </w:r>
      <w:r>
        <w:rPr>
          <w:rFonts w:ascii="Book Antiqua" w:hAnsi="Book Antiqua"/>
          <w:color w:val="000000" w:themeColor="text1"/>
          <w:sz w:val="24"/>
          <w:szCs w:val="24"/>
        </w:rPr>
        <w:fldChar w:fldCharType="begin" w:fldLock="1"/>
      </w:r>
      <w:r>
        <w:rPr>
          <w:rFonts w:ascii="Book Antiqua" w:hAnsi="Book Antiqua"/>
          <w:color w:val="000000" w:themeColor="text1"/>
          <w:sz w:val="24"/>
          <w:szCs w:val="24"/>
        </w:rPr>
        <w:instrText>ADDIN CSL_CITATION {"citationItems":[{"id":"ITEM-1","itemData":{"author":[{"dropping-particle":"","family":"Shihab","given":"M. Quraish.","non-dropping-particle":"","parse-names":false,"suffix":""}],"id":"ITEM-1","issued":{"date-parts":[["2002"]]},"publisher":"Lentera Hati","publisher-place":"Jakarta","title":"Tafsir Al-Misbah: Pesan, Kesan dan Keserasian Al-Qur'an.","type":"book"},"uris":["http://www.mendeley.com/documents/?uuid=6df74eb3-82ad-4bae-be61-54eb1c2b57dc"]}],"mendeley":{"formattedCitation":"(Shihab, 2002)","plainTextFormattedCitation":"(Shihab, 2002)","previouslyFormattedCitation":"(Shihab, 2002)"},"properties":{"noteIndex":0},"schema":"https://github.com/citation-style-language/schema/raw/master/csl-citation.json"}</w:instrText>
      </w:r>
      <w:r>
        <w:rPr>
          <w:rFonts w:ascii="Book Antiqua" w:hAnsi="Book Antiqua"/>
          <w:color w:val="000000" w:themeColor="text1"/>
          <w:sz w:val="24"/>
          <w:szCs w:val="24"/>
        </w:rPr>
        <w:fldChar w:fldCharType="separate"/>
      </w:r>
      <w:r w:rsidRPr="002446B8">
        <w:rPr>
          <w:rFonts w:ascii="Book Antiqua" w:hAnsi="Book Antiqua"/>
          <w:noProof/>
          <w:color w:val="000000" w:themeColor="text1"/>
          <w:sz w:val="24"/>
          <w:szCs w:val="24"/>
        </w:rPr>
        <w:t>(Shihab, 2002)</w:t>
      </w:r>
      <w:r>
        <w:rPr>
          <w:rFonts w:ascii="Book Antiqua" w:hAnsi="Book Antiqua"/>
          <w:color w:val="000000" w:themeColor="text1"/>
          <w:sz w:val="24"/>
          <w:szCs w:val="24"/>
        </w:rPr>
        <w:fldChar w:fldCharType="end"/>
      </w:r>
      <w:r w:rsidRPr="001F7E5E">
        <w:rPr>
          <w:rFonts w:ascii="Book Antiqua" w:hAnsi="Book Antiqua"/>
          <w:color w:val="000000" w:themeColor="text1"/>
          <w:sz w:val="24"/>
          <w:szCs w:val="24"/>
        </w:rPr>
        <w:t xml:space="preserve"> menjelaskan bahwa Al-Qur'an mendorong manusia untuk menggunakan akal secara proporsional dalam memahami wahyu agar tidak terjebak pada sikap berlebihan yang dapat menimbulkan penyimpangan. </w:t>
      </w:r>
      <w:proofErr w:type="gramStart"/>
      <w:r w:rsidRPr="001F7E5E">
        <w:rPr>
          <w:rFonts w:ascii="Book Antiqua" w:hAnsi="Book Antiqua"/>
          <w:color w:val="000000" w:themeColor="text1"/>
          <w:sz w:val="24"/>
          <w:szCs w:val="24"/>
        </w:rPr>
        <w:t>Temuan penelitian menunjukkan bahwa sikap kritis menjadi salah satu nilai pendidikan utama yang terkandung dalam QS.</w:t>
      </w:r>
      <w:proofErr w:type="gramEnd"/>
      <w:r w:rsidRPr="001F7E5E">
        <w:rPr>
          <w:rFonts w:ascii="Book Antiqua" w:hAnsi="Book Antiqua"/>
          <w:color w:val="000000" w:themeColor="text1"/>
          <w:sz w:val="24"/>
          <w:szCs w:val="24"/>
        </w:rPr>
        <w:t xml:space="preserve"> </w:t>
      </w:r>
      <w:r w:rsidRPr="001F7E5E">
        <w:rPr>
          <w:rFonts w:ascii="Book Antiqua" w:hAnsi="Book Antiqua"/>
          <w:color w:val="000000" w:themeColor="text1"/>
          <w:sz w:val="24"/>
          <w:szCs w:val="24"/>
        </w:rPr>
        <w:lastRenderedPageBreak/>
        <w:t xml:space="preserve">An-Nisa' [4]:171 karena mampu mencegah munculnya fanatisme buta yang sering menjadi akar ekstremisme. </w:t>
      </w:r>
      <w:proofErr w:type="gramStart"/>
      <w:r w:rsidRPr="001F7E5E">
        <w:rPr>
          <w:rFonts w:ascii="Book Antiqua" w:hAnsi="Book Antiqua"/>
          <w:color w:val="000000" w:themeColor="text1"/>
          <w:sz w:val="24"/>
          <w:szCs w:val="24"/>
        </w:rPr>
        <w:t>Berbagai penelitian tentang radikalisme juga menunjukkan bahwa individu yang memiliki kemampuan berpikir kritis cenderung lebih tahan terhadap pengaruh ideologi ekstrem dibandingkan individu yang menerima informasi secara pasif.</w:t>
      </w:r>
      <w:proofErr w:type="gramEnd"/>
      <w:r w:rsidRPr="001F7E5E">
        <w:rPr>
          <w:rFonts w:ascii="Book Antiqua" w:hAnsi="Book Antiqua"/>
          <w:color w:val="000000" w:themeColor="text1"/>
          <w:sz w:val="24"/>
          <w:szCs w:val="24"/>
        </w:rPr>
        <w:t xml:space="preserve"> </w:t>
      </w:r>
      <w:proofErr w:type="gramStart"/>
      <w:r w:rsidRPr="001F7E5E">
        <w:rPr>
          <w:rFonts w:ascii="Book Antiqua" w:hAnsi="Book Antiqua"/>
          <w:color w:val="000000" w:themeColor="text1"/>
          <w:sz w:val="24"/>
          <w:szCs w:val="24"/>
        </w:rPr>
        <w:t>Oleh karena itu, pendidikan Islam perlu mengembangkan kemampuan berpikir reflektif dan kritis agar peserta didik mampu memahami ajaran agama secara komprehensif dan tidak mudah terpengaruh oleh narasi ekstremisme.</w:t>
      </w:r>
      <w:proofErr w:type="gramEnd"/>
    </w:p>
    <w:p w14:paraId="02E47F55" w14:textId="77777777" w:rsidR="00F943A6" w:rsidRDefault="00F943A6" w:rsidP="00F943A6">
      <w:pPr>
        <w:widowControl/>
        <w:ind w:firstLine="709"/>
        <w:jc w:val="both"/>
        <w:rPr>
          <w:rFonts w:ascii="Book Antiqua" w:hAnsi="Book Antiqua"/>
          <w:color w:val="000000" w:themeColor="text1"/>
          <w:sz w:val="24"/>
          <w:szCs w:val="24"/>
        </w:rPr>
      </w:pPr>
      <w:r w:rsidRPr="001F7E5E">
        <w:rPr>
          <w:rFonts w:ascii="Book Antiqua" w:hAnsi="Book Antiqua"/>
          <w:color w:val="000000" w:themeColor="text1"/>
          <w:sz w:val="24"/>
          <w:szCs w:val="24"/>
        </w:rPr>
        <w:t>Dalam perspektif tafsir tarbawi, pembentukan sikap kritis tersebut dapat dilakukan melalui proses pendidikan yang menekankan dialog, kajian ilmiah, dan pengembangan kemampuan analitis terhadap berbagai persoalan keagamaan. A</w:t>
      </w:r>
      <w:r>
        <w:rPr>
          <w:rFonts w:ascii="Book Antiqua" w:hAnsi="Book Antiqua"/>
          <w:color w:val="000000" w:themeColor="text1"/>
          <w:sz w:val="24"/>
          <w:szCs w:val="24"/>
        </w:rPr>
        <w:t xml:space="preserve">l-Syaibani </w:t>
      </w:r>
      <w:r>
        <w:rPr>
          <w:rFonts w:ascii="Book Antiqua" w:hAnsi="Book Antiqua"/>
          <w:color w:val="000000" w:themeColor="text1"/>
          <w:sz w:val="24"/>
          <w:szCs w:val="24"/>
        </w:rPr>
        <w:fldChar w:fldCharType="begin" w:fldLock="1"/>
      </w:r>
      <w:r>
        <w:rPr>
          <w:rFonts w:ascii="Book Antiqua" w:hAnsi="Book Antiqua"/>
          <w:color w:val="000000" w:themeColor="text1"/>
          <w:sz w:val="24"/>
          <w:szCs w:val="24"/>
        </w:rPr>
        <w:instrText>ADDIN CSL_CITATION {"citationItems":[{"id":"ITEM-1","itemData":{"author":[{"dropping-particle":"","family":"Al-Syaibani","given":"Omar Mohammad Al-Toumy.","non-dropping-particle":"","parse-names":false,"suffix":""}],"id":"ITEM-1","issued":{"date-parts":[["1979"]]},"publisher":"Bulan Bintang.","publisher-place":"Jakarta","title":"Falsafah Pendidikan Islam.","type":"book"},"uris":["http://www.mendeley.com/documents/?uuid=7c22a196-40f7-47ef-b8c3-0b9b8a5d5279"]}],"mendeley":{"formattedCitation":"(Al-Syaibani, 1979)","plainTextFormattedCitation":"(Al-Syaibani, 1979)","previouslyFormattedCitation":"(Al-Syaibani, 1979)"},"properties":{"noteIndex":0},"schema":"https://github.com/citation-style-language/schema/raw/master/csl-citation.json"}</w:instrText>
      </w:r>
      <w:r>
        <w:rPr>
          <w:rFonts w:ascii="Book Antiqua" w:hAnsi="Book Antiqua"/>
          <w:color w:val="000000" w:themeColor="text1"/>
          <w:sz w:val="24"/>
          <w:szCs w:val="24"/>
        </w:rPr>
        <w:fldChar w:fldCharType="separate"/>
      </w:r>
      <w:r w:rsidRPr="005036BC">
        <w:rPr>
          <w:rFonts w:ascii="Book Antiqua" w:hAnsi="Book Antiqua"/>
          <w:noProof/>
          <w:color w:val="000000" w:themeColor="text1"/>
          <w:sz w:val="24"/>
          <w:szCs w:val="24"/>
        </w:rPr>
        <w:t>(Al-Syaibani, 1979)</w:t>
      </w:r>
      <w:r>
        <w:rPr>
          <w:rFonts w:ascii="Book Antiqua" w:hAnsi="Book Antiqua"/>
          <w:color w:val="000000" w:themeColor="text1"/>
          <w:sz w:val="24"/>
          <w:szCs w:val="24"/>
        </w:rPr>
        <w:fldChar w:fldCharType="end"/>
      </w:r>
      <w:r w:rsidRPr="001F7E5E">
        <w:rPr>
          <w:rFonts w:ascii="Book Antiqua" w:hAnsi="Book Antiqua"/>
          <w:color w:val="000000" w:themeColor="text1"/>
          <w:sz w:val="24"/>
          <w:szCs w:val="24"/>
        </w:rPr>
        <w:t xml:space="preserve"> menjelaskan bahwa pendidikan Islam tidak hanya bertujuan mentransfer pengetahuan, tetapi juga membentuk kemampuan berpikir yang benar berdasarkan nilai-nilai Al-Qur'an dan Sunnah. </w:t>
      </w:r>
      <w:proofErr w:type="gramStart"/>
      <w:r w:rsidRPr="001F7E5E">
        <w:rPr>
          <w:rFonts w:ascii="Book Antiqua" w:hAnsi="Book Antiqua"/>
          <w:color w:val="000000" w:themeColor="text1"/>
          <w:sz w:val="24"/>
          <w:szCs w:val="24"/>
        </w:rPr>
        <w:t>Temuan penelitian menunjukkan bahwa QS.</w:t>
      </w:r>
      <w:proofErr w:type="gramEnd"/>
      <w:r w:rsidRPr="001F7E5E">
        <w:rPr>
          <w:rFonts w:ascii="Book Antiqua" w:hAnsi="Book Antiqua"/>
          <w:color w:val="000000" w:themeColor="text1"/>
          <w:sz w:val="24"/>
          <w:szCs w:val="24"/>
        </w:rPr>
        <w:t xml:space="preserve"> An-Nisa' [4]:171 memberikan dasar normatif bagi pengembangan pendidikan yang mendorong peserta didik untuk menghindari sikap taklid buta dan mengedepankan pencarian kebenaran secara objektif. Sebagai contoh, Rasulullah saw. </w:t>
      </w:r>
      <w:proofErr w:type="gramStart"/>
      <w:r w:rsidRPr="001F7E5E">
        <w:rPr>
          <w:rFonts w:ascii="Book Antiqua" w:hAnsi="Book Antiqua"/>
          <w:color w:val="000000" w:themeColor="text1"/>
          <w:sz w:val="24"/>
          <w:szCs w:val="24"/>
        </w:rPr>
        <w:t>sering</w:t>
      </w:r>
      <w:proofErr w:type="gramEnd"/>
      <w:r w:rsidRPr="001F7E5E">
        <w:rPr>
          <w:rFonts w:ascii="Book Antiqua" w:hAnsi="Book Antiqua"/>
          <w:color w:val="000000" w:themeColor="text1"/>
          <w:sz w:val="24"/>
          <w:szCs w:val="24"/>
        </w:rPr>
        <w:t xml:space="preserve"> mendorong para sahabat untuk bertanya dan berdiskusi mengenai berbagai persoalan agama sehingga mereka memahami ajaran Islam secara mendalam dan tidak terjebak dalam pemahaman yang sempit. </w:t>
      </w:r>
      <w:proofErr w:type="gramStart"/>
      <w:r w:rsidRPr="001F7E5E">
        <w:rPr>
          <w:rFonts w:ascii="Book Antiqua" w:hAnsi="Book Antiqua"/>
          <w:color w:val="000000" w:themeColor="text1"/>
          <w:sz w:val="24"/>
          <w:szCs w:val="24"/>
        </w:rPr>
        <w:t>Dengan demikian, nilai pendidikan yang terkandung dalam ayat ini menunjukkan bahwa sikap kritis merupakan instrumen penting dalam mencegah berkembangnya fanatisme dan ekstremisme dalam kehidupan beragama.</w:t>
      </w:r>
      <w:proofErr w:type="gramEnd"/>
    </w:p>
    <w:p w14:paraId="12F58353" w14:textId="77777777" w:rsidR="00F943A6" w:rsidRPr="001F7E5E" w:rsidRDefault="00F943A6" w:rsidP="00F943A6">
      <w:pPr>
        <w:widowControl/>
        <w:jc w:val="both"/>
        <w:rPr>
          <w:rFonts w:ascii="Book Antiqua" w:hAnsi="Book Antiqua"/>
          <w:b/>
          <w:bCs/>
          <w:color w:val="000000" w:themeColor="text1"/>
          <w:sz w:val="24"/>
          <w:szCs w:val="24"/>
        </w:rPr>
      </w:pPr>
      <w:r w:rsidRPr="001F7E5E">
        <w:rPr>
          <w:rFonts w:ascii="Book Antiqua" w:hAnsi="Book Antiqua"/>
          <w:b/>
          <w:bCs/>
          <w:color w:val="000000" w:themeColor="text1"/>
          <w:sz w:val="24"/>
          <w:szCs w:val="24"/>
        </w:rPr>
        <w:t>Relevansi Konsep Anti-Ekstremisme terhadap Tantangan Keberagamaan Kontemporer</w:t>
      </w:r>
    </w:p>
    <w:p w14:paraId="6FBBB768" w14:textId="77777777" w:rsidR="00F943A6" w:rsidRPr="001F7E5E" w:rsidRDefault="00F943A6" w:rsidP="00F943A6">
      <w:pPr>
        <w:widowControl/>
        <w:ind w:firstLine="709"/>
        <w:jc w:val="both"/>
        <w:rPr>
          <w:rFonts w:ascii="Book Antiqua" w:hAnsi="Book Antiqua"/>
          <w:color w:val="000000" w:themeColor="text1"/>
          <w:sz w:val="24"/>
          <w:szCs w:val="24"/>
        </w:rPr>
      </w:pPr>
      <w:proofErr w:type="gramStart"/>
      <w:r w:rsidRPr="001F7E5E">
        <w:rPr>
          <w:rFonts w:ascii="Book Antiqua" w:hAnsi="Book Antiqua"/>
          <w:color w:val="000000" w:themeColor="text1"/>
          <w:sz w:val="24"/>
          <w:szCs w:val="24"/>
        </w:rPr>
        <w:t>Hasil penelitian menunjukkan bahwa konsep anti-ekstremisme yang terkandung dalam QS.</w:t>
      </w:r>
      <w:proofErr w:type="gramEnd"/>
      <w:r w:rsidRPr="001F7E5E">
        <w:rPr>
          <w:rFonts w:ascii="Book Antiqua" w:hAnsi="Book Antiqua"/>
          <w:color w:val="000000" w:themeColor="text1"/>
          <w:sz w:val="24"/>
          <w:szCs w:val="24"/>
        </w:rPr>
        <w:t xml:space="preserve"> An-Nisa' [4]:171 memiliki relevansi yang sangat kuat terhadap berbagai tantangan keberagamaan pada era kontemporer. </w:t>
      </w:r>
      <w:proofErr w:type="gramStart"/>
      <w:r w:rsidRPr="001F7E5E">
        <w:rPr>
          <w:rFonts w:ascii="Book Antiqua" w:hAnsi="Book Antiqua"/>
          <w:color w:val="000000" w:themeColor="text1"/>
          <w:sz w:val="24"/>
          <w:szCs w:val="24"/>
        </w:rPr>
        <w:t>Perkembangan teknologi informasi telah menciptakan ruang baru bagi penyebaran berbagai pemahaman keagamaan, baik yang bersifat moderat maupun ekstrem.</w:t>
      </w:r>
      <w:proofErr w:type="gramEnd"/>
      <w:r w:rsidRPr="001F7E5E">
        <w:rPr>
          <w:rFonts w:ascii="Book Antiqua" w:hAnsi="Book Antiqua"/>
          <w:color w:val="000000" w:themeColor="text1"/>
          <w:sz w:val="24"/>
          <w:szCs w:val="24"/>
        </w:rPr>
        <w:t xml:space="preserve"> Azra </w:t>
      </w:r>
      <w:r>
        <w:rPr>
          <w:rFonts w:ascii="Book Antiqua" w:hAnsi="Book Antiqua"/>
          <w:color w:val="000000" w:themeColor="text1"/>
          <w:sz w:val="24"/>
          <w:szCs w:val="24"/>
        </w:rPr>
        <w:fldChar w:fldCharType="begin" w:fldLock="1"/>
      </w:r>
      <w:r>
        <w:rPr>
          <w:rFonts w:ascii="Book Antiqua" w:hAnsi="Book Antiqua"/>
          <w:color w:val="000000" w:themeColor="text1"/>
          <w:sz w:val="24"/>
          <w:szCs w:val="24"/>
        </w:rPr>
        <w:instrText>ADDIN CSL_CITATION {"citationItems":[{"id":"ITEM-1","itemData":{"author":[{"dropping-particle":"","family":"Azra, A., &amp; Hidayat","given":"K.","non-dropping-particle":"","parse-names":false,"suffix":""}],"container-title":"Prosiding Seminar Nasional Moderasi Beragama, Universitas Islam Negeri Syarif Hidayatullah","id":"ITEM-1","issued":{"date-parts":[["2020"]]},"page":"15-30","publisher-place":"Jakarta","title":"Moderasi Beragama di Era Digital: Tantangan dan Strategi.","type":"paper-conference"},"uris":["http://www.mendeley.com/documents/?uuid=1a344ea4-342f-416d-b5cf-1b1b0d65ad83"]}],"mendeley":{"formattedCitation":"(Azra, A., &amp; Hidayat, 2020)","plainTextFormattedCitation":"(Azra, A., &amp; Hidayat, 2020)","previouslyFormattedCitation":"(Azra, A., &amp; Hidayat, 2020)"},"properties":{"noteIndex":0},"schema":"https://github.com/citation-style-language/schema/raw/master/csl-citation.json"}</w:instrText>
      </w:r>
      <w:r>
        <w:rPr>
          <w:rFonts w:ascii="Book Antiqua" w:hAnsi="Book Antiqua"/>
          <w:color w:val="000000" w:themeColor="text1"/>
          <w:sz w:val="24"/>
          <w:szCs w:val="24"/>
        </w:rPr>
        <w:fldChar w:fldCharType="separate"/>
      </w:r>
      <w:r w:rsidRPr="002D47D1">
        <w:rPr>
          <w:rFonts w:ascii="Book Antiqua" w:hAnsi="Book Antiqua"/>
          <w:noProof/>
          <w:color w:val="000000" w:themeColor="text1"/>
          <w:sz w:val="24"/>
          <w:szCs w:val="24"/>
        </w:rPr>
        <w:t>(Azra, A., &amp; Hidayat, 2020)</w:t>
      </w:r>
      <w:r>
        <w:rPr>
          <w:rFonts w:ascii="Book Antiqua" w:hAnsi="Book Antiqua"/>
          <w:color w:val="000000" w:themeColor="text1"/>
          <w:sz w:val="24"/>
          <w:szCs w:val="24"/>
        </w:rPr>
        <w:fldChar w:fldCharType="end"/>
      </w:r>
      <w:r w:rsidRPr="001F7E5E">
        <w:rPr>
          <w:rFonts w:ascii="Book Antiqua" w:hAnsi="Book Antiqua"/>
          <w:color w:val="000000" w:themeColor="text1"/>
          <w:sz w:val="24"/>
          <w:szCs w:val="24"/>
        </w:rPr>
        <w:t xml:space="preserve"> menjelaskan bahwa era digital memungkinkan penyebaran ideologi radikal berlangsung lebih cepat karena didukung oleh berbagai platform media sosial yang dapat menjangkau masyarakat secara luas. </w:t>
      </w:r>
      <w:proofErr w:type="gramStart"/>
      <w:r w:rsidRPr="001F7E5E">
        <w:rPr>
          <w:rFonts w:ascii="Book Antiqua" w:hAnsi="Book Antiqua"/>
          <w:color w:val="000000" w:themeColor="text1"/>
          <w:sz w:val="24"/>
          <w:szCs w:val="24"/>
        </w:rPr>
        <w:t>Data menunjukkan bahwa berbagai kelompok ekstrem memanfaatkan media digital untuk menyebarkan propaganda yang mengatasnamakan agama guna menarik simpati masyarakat, khususnya generasi muda.</w:t>
      </w:r>
      <w:proofErr w:type="gramEnd"/>
      <w:r w:rsidRPr="001F7E5E">
        <w:rPr>
          <w:rFonts w:ascii="Book Antiqua" w:hAnsi="Book Antiqua"/>
          <w:color w:val="000000" w:themeColor="text1"/>
          <w:sz w:val="24"/>
          <w:szCs w:val="24"/>
        </w:rPr>
        <w:t xml:space="preserve"> </w:t>
      </w:r>
      <w:proofErr w:type="gramStart"/>
      <w:r w:rsidRPr="001F7E5E">
        <w:rPr>
          <w:rFonts w:ascii="Book Antiqua" w:hAnsi="Book Antiqua"/>
          <w:color w:val="000000" w:themeColor="text1"/>
          <w:sz w:val="24"/>
          <w:szCs w:val="24"/>
        </w:rPr>
        <w:t>Dalam kondisi tersebut, nilai-nilai pendidikan yang terkandung dalam QS.</w:t>
      </w:r>
      <w:proofErr w:type="gramEnd"/>
      <w:r w:rsidRPr="001F7E5E">
        <w:rPr>
          <w:rFonts w:ascii="Book Antiqua" w:hAnsi="Book Antiqua"/>
          <w:color w:val="000000" w:themeColor="text1"/>
          <w:sz w:val="24"/>
          <w:szCs w:val="24"/>
        </w:rPr>
        <w:t xml:space="preserve"> An-Nisa' [4]:171 menjadi sangat relevan karena mengajarkan pentingnya sikap kritis, moderasi, dan keseimbangan dalam memahami ajaran agama. </w:t>
      </w:r>
      <w:proofErr w:type="gramStart"/>
      <w:r w:rsidRPr="001F7E5E">
        <w:rPr>
          <w:rFonts w:ascii="Book Antiqua" w:hAnsi="Book Antiqua"/>
          <w:color w:val="000000" w:themeColor="text1"/>
          <w:sz w:val="24"/>
          <w:szCs w:val="24"/>
        </w:rPr>
        <w:t>Temuan penelitian menunjukkan bahwa konsep anti-ghuluw dapat menjadi benteng ideologis yang mampu mencegah individu terjebak dalam narasi keagamaan yang bersifat ekstrem dan eksklusif.</w:t>
      </w:r>
      <w:proofErr w:type="gramEnd"/>
    </w:p>
    <w:p w14:paraId="0F7800BA" w14:textId="77777777" w:rsidR="00F943A6" w:rsidRDefault="00F943A6" w:rsidP="00F943A6">
      <w:pPr>
        <w:widowControl/>
        <w:ind w:firstLine="709"/>
        <w:jc w:val="both"/>
        <w:rPr>
          <w:rFonts w:ascii="Book Antiqua" w:hAnsi="Book Antiqua"/>
          <w:color w:val="000000" w:themeColor="text1"/>
          <w:sz w:val="24"/>
          <w:szCs w:val="24"/>
        </w:rPr>
      </w:pPr>
      <w:proofErr w:type="gramStart"/>
      <w:r w:rsidRPr="001F7E5E">
        <w:rPr>
          <w:rFonts w:ascii="Book Antiqua" w:hAnsi="Book Antiqua"/>
          <w:color w:val="000000" w:themeColor="text1"/>
          <w:sz w:val="24"/>
          <w:szCs w:val="24"/>
        </w:rPr>
        <w:t>Selain itu, meningkatnya pluralitas masyarakat modern juga menuntut hadirnya model pendidikan yang mampu membangun toleransi dan penghormatan terhadap perbedaan.</w:t>
      </w:r>
      <w:proofErr w:type="gramEnd"/>
      <w:r w:rsidRPr="001F7E5E">
        <w:rPr>
          <w:rFonts w:ascii="Book Antiqua" w:hAnsi="Book Antiqua"/>
          <w:color w:val="000000" w:themeColor="text1"/>
          <w:sz w:val="24"/>
          <w:szCs w:val="24"/>
        </w:rPr>
        <w:t xml:space="preserve"> Abdullah</w:t>
      </w:r>
      <w:r>
        <w:rPr>
          <w:rFonts w:ascii="Book Antiqua" w:hAnsi="Book Antiqua"/>
          <w:color w:val="000000" w:themeColor="text1"/>
          <w:sz w:val="24"/>
          <w:szCs w:val="24"/>
        </w:rPr>
        <w:t xml:space="preserve"> </w:t>
      </w:r>
      <w:r>
        <w:rPr>
          <w:rFonts w:ascii="Book Antiqua" w:hAnsi="Book Antiqua"/>
          <w:color w:val="000000" w:themeColor="text1"/>
          <w:sz w:val="24"/>
          <w:szCs w:val="24"/>
        </w:rPr>
        <w:fldChar w:fldCharType="begin" w:fldLock="1"/>
      </w:r>
      <w:r>
        <w:rPr>
          <w:rFonts w:ascii="Book Antiqua" w:hAnsi="Book Antiqua"/>
          <w:color w:val="000000" w:themeColor="text1"/>
          <w:sz w:val="24"/>
          <w:szCs w:val="24"/>
        </w:rPr>
        <w:instrText>ADDIN CSL_CITATION {"citationItems":[{"id":"ITEM-1","itemData":{"author":[{"dropping-particle":"","family":"Abdullah","given":"M. A.","non-dropping-particle":"","parse-names":false,"suffix":""}],"container-title":"Prosiding Konferensi Internasional Pendidikan Agama Islam","id":"ITEM-1","issued":{"date-parts":[["2020"]]},"page":"56-74.","publisher-place":"Malang","title":"Reinterpretasi Nilai-Nilai Tafsir Tarbawi untuk Pendidikan Multikultural.","type":"paper-conference"},"uris":["http://www.mendeley.com/documents/?uuid=caf426b5-cd41-4e99-992e-4e0bbbf52634"]}],"mendeley":{"formattedCitation":"(Abdullah, 2020)","plainTextFormattedCitation":"(Abdullah, 2020)","previouslyFormattedCitation":"(Abdullah, 2020)"},"properties":{"noteIndex":0},"schema":"https://github.com/citation-style-language/schema/raw/master/csl-citation.json"}</w:instrText>
      </w:r>
      <w:r>
        <w:rPr>
          <w:rFonts w:ascii="Book Antiqua" w:hAnsi="Book Antiqua"/>
          <w:color w:val="000000" w:themeColor="text1"/>
          <w:sz w:val="24"/>
          <w:szCs w:val="24"/>
        </w:rPr>
        <w:fldChar w:fldCharType="separate"/>
      </w:r>
      <w:r w:rsidRPr="002D47D1">
        <w:rPr>
          <w:rFonts w:ascii="Book Antiqua" w:hAnsi="Book Antiqua"/>
          <w:noProof/>
          <w:color w:val="000000" w:themeColor="text1"/>
          <w:sz w:val="24"/>
          <w:szCs w:val="24"/>
        </w:rPr>
        <w:t>(Abdullah, 2020)</w:t>
      </w:r>
      <w:r>
        <w:rPr>
          <w:rFonts w:ascii="Book Antiqua" w:hAnsi="Book Antiqua"/>
          <w:color w:val="000000" w:themeColor="text1"/>
          <w:sz w:val="24"/>
          <w:szCs w:val="24"/>
        </w:rPr>
        <w:fldChar w:fldCharType="end"/>
      </w:r>
      <w:r>
        <w:rPr>
          <w:rFonts w:ascii="Book Antiqua" w:hAnsi="Book Antiqua"/>
          <w:color w:val="000000" w:themeColor="text1"/>
          <w:sz w:val="24"/>
          <w:szCs w:val="24"/>
        </w:rPr>
        <w:t xml:space="preserve"> </w:t>
      </w:r>
      <w:r w:rsidRPr="001F7E5E">
        <w:rPr>
          <w:rFonts w:ascii="Book Antiqua" w:hAnsi="Book Antiqua"/>
          <w:color w:val="000000" w:themeColor="text1"/>
          <w:sz w:val="24"/>
          <w:szCs w:val="24"/>
        </w:rPr>
        <w:t xml:space="preserve">menjelaskan bahwa masyarakat modern ditandai oleh tingginya interaksi antar kelompok yang memiliki latar belakang agama, budaya, dan pandangan yang berbeda </w:t>
      </w:r>
      <w:r w:rsidRPr="001F7E5E">
        <w:rPr>
          <w:rFonts w:ascii="Book Antiqua" w:hAnsi="Book Antiqua"/>
          <w:color w:val="000000" w:themeColor="text1"/>
          <w:sz w:val="24"/>
          <w:szCs w:val="24"/>
        </w:rPr>
        <w:lastRenderedPageBreak/>
        <w:t xml:space="preserve">sehingga diperlukan pendekatan keberagamaan yang inklusif. </w:t>
      </w:r>
      <w:proofErr w:type="gramStart"/>
      <w:r w:rsidRPr="001F7E5E">
        <w:rPr>
          <w:rFonts w:ascii="Book Antiqua" w:hAnsi="Book Antiqua"/>
          <w:color w:val="000000" w:themeColor="text1"/>
          <w:sz w:val="24"/>
          <w:szCs w:val="24"/>
        </w:rPr>
        <w:t>Temuan penelitian menunjukkan bahwa larangan ghuluw dalam QS.</w:t>
      </w:r>
      <w:proofErr w:type="gramEnd"/>
      <w:r w:rsidRPr="001F7E5E">
        <w:rPr>
          <w:rFonts w:ascii="Book Antiqua" w:hAnsi="Book Antiqua"/>
          <w:color w:val="000000" w:themeColor="text1"/>
          <w:sz w:val="24"/>
          <w:szCs w:val="24"/>
        </w:rPr>
        <w:t xml:space="preserve"> An-Nisa' [4]:171 memiliki implikasi pendidikan yang mendorong penghormatan terhadap martabat manusia tanpa memandang latar belakang keyakinannya. </w:t>
      </w:r>
      <w:proofErr w:type="gramStart"/>
      <w:r w:rsidRPr="001F7E5E">
        <w:rPr>
          <w:rFonts w:ascii="Book Antiqua" w:hAnsi="Book Antiqua"/>
          <w:color w:val="000000" w:themeColor="text1"/>
          <w:sz w:val="24"/>
          <w:szCs w:val="24"/>
        </w:rPr>
        <w:t>Nilai tersebut sangat penting dalam membangun kehidupan sosial yang harmonis di tengah meningkatnya kompleksitas hubungan antar kelompok dalam masyarakat global.</w:t>
      </w:r>
      <w:proofErr w:type="gramEnd"/>
      <w:r w:rsidRPr="001F7E5E">
        <w:rPr>
          <w:rFonts w:ascii="Book Antiqua" w:hAnsi="Book Antiqua"/>
          <w:color w:val="000000" w:themeColor="text1"/>
          <w:sz w:val="24"/>
          <w:szCs w:val="24"/>
        </w:rPr>
        <w:t xml:space="preserve"> </w:t>
      </w:r>
      <w:proofErr w:type="gramStart"/>
      <w:r w:rsidRPr="001F7E5E">
        <w:rPr>
          <w:rFonts w:ascii="Book Antiqua" w:hAnsi="Book Antiqua"/>
          <w:color w:val="000000" w:themeColor="text1"/>
          <w:sz w:val="24"/>
          <w:szCs w:val="24"/>
        </w:rPr>
        <w:t>Oleh karena itu, konsep anti-ekstremisme yang terkandung dalam QS.</w:t>
      </w:r>
      <w:proofErr w:type="gramEnd"/>
      <w:r w:rsidRPr="001F7E5E">
        <w:rPr>
          <w:rFonts w:ascii="Book Antiqua" w:hAnsi="Book Antiqua"/>
          <w:color w:val="000000" w:themeColor="text1"/>
          <w:sz w:val="24"/>
          <w:szCs w:val="24"/>
        </w:rPr>
        <w:t xml:space="preserve"> An-Nisa' [4]:171 tidak hanya memiliki relevansi teologis, tetapi juga memiliki relevansi sosial yang sangat penting dalam menghadapi berbagai tantangan keberagamaan pada era modern.</w:t>
      </w:r>
    </w:p>
    <w:p w14:paraId="42AC2CCD" w14:textId="77777777" w:rsidR="00F943A6" w:rsidRDefault="00F943A6" w:rsidP="00F943A6">
      <w:pPr>
        <w:widowControl/>
        <w:ind w:firstLine="709"/>
        <w:jc w:val="both"/>
        <w:rPr>
          <w:rFonts w:ascii="Book Antiqua" w:hAnsi="Book Antiqua"/>
          <w:color w:val="000000" w:themeColor="text1"/>
          <w:sz w:val="24"/>
          <w:szCs w:val="24"/>
        </w:rPr>
      </w:pPr>
    </w:p>
    <w:p w14:paraId="143181BD" w14:textId="77777777" w:rsidR="00F943A6" w:rsidRDefault="00F943A6" w:rsidP="00F943A6">
      <w:pPr>
        <w:widowControl/>
        <w:spacing w:before="60"/>
        <w:jc w:val="both"/>
        <w:rPr>
          <w:rFonts w:ascii="Book Antiqua" w:hAnsi="Book Antiqua"/>
          <w:b/>
          <w:bCs/>
          <w:color w:val="000000" w:themeColor="text1"/>
          <w:sz w:val="24"/>
          <w:szCs w:val="24"/>
        </w:rPr>
      </w:pPr>
      <w:r w:rsidRPr="00A734ED">
        <w:rPr>
          <w:rFonts w:ascii="Book Antiqua" w:hAnsi="Book Antiqua"/>
          <w:b/>
          <w:bCs/>
          <w:color w:val="000000" w:themeColor="text1"/>
          <w:sz w:val="24"/>
          <w:szCs w:val="24"/>
        </w:rPr>
        <w:t>PEMBAHASAN</w:t>
      </w:r>
    </w:p>
    <w:p w14:paraId="4A4AFB56" w14:textId="77777777" w:rsidR="00F943A6" w:rsidRPr="001F7E5E" w:rsidRDefault="00F943A6" w:rsidP="00F943A6">
      <w:pPr>
        <w:widowControl/>
        <w:rPr>
          <w:rFonts w:ascii="Book Antiqua" w:hAnsi="Book Antiqua"/>
          <w:b/>
          <w:bCs/>
          <w:color w:val="000000" w:themeColor="text1"/>
          <w:sz w:val="24"/>
          <w:szCs w:val="24"/>
          <w:lang w:val="id-ID"/>
        </w:rPr>
      </w:pPr>
      <w:r w:rsidRPr="001F7E5E">
        <w:rPr>
          <w:rFonts w:ascii="Book Antiqua" w:hAnsi="Book Antiqua"/>
          <w:b/>
          <w:bCs/>
          <w:color w:val="000000" w:themeColor="text1"/>
          <w:sz w:val="24"/>
          <w:szCs w:val="24"/>
          <w:lang w:val="id-ID"/>
        </w:rPr>
        <w:t>Larangan Ghuluw dalam QS. An-Nisa' [4]:171 Perspektif Teori Moderasi Beragama</w:t>
      </w:r>
    </w:p>
    <w:p w14:paraId="3998FD9D" w14:textId="77777777" w:rsidR="00F943A6" w:rsidRDefault="00F943A6" w:rsidP="00F943A6">
      <w:pPr>
        <w:widowControl/>
        <w:ind w:firstLine="709"/>
        <w:jc w:val="both"/>
        <w:rPr>
          <w:rFonts w:ascii="Book Antiqua" w:hAnsi="Book Antiqua"/>
          <w:color w:val="000000" w:themeColor="text1"/>
          <w:sz w:val="24"/>
          <w:szCs w:val="24"/>
          <w:lang w:val="id-ID"/>
        </w:rPr>
      </w:pPr>
      <w:r w:rsidRPr="001F7E5E">
        <w:rPr>
          <w:rFonts w:ascii="Book Antiqua" w:hAnsi="Book Antiqua"/>
          <w:color w:val="000000" w:themeColor="text1"/>
          <w:sz w:val="24"/>
          <w:szCs w:val="24"/>
          <w:lang w:val="id-ID"/>
        </w:rPr>
        <w:t xml:space="preserve">Hasil penelitian menunjukkan bahwa larangan ghuluw dalam QS. An-Nisa' [4]:171 merupakan fondasi utama pendidikan anti-ekstremisme yang berorientasi pada pembentukan sikap moderat dalam kehidupan beragama. Temuan ini memiliki kesesuaian yang kuat dengan teori wasathiyyah yang dikembangkan oleh Mohammad Hashim Kamali. Menurut Kamali </w:t>
      </w:r>
      <w:r>
        <w:rPr>
          <w:rFonts w:ascii="Book Antiqua" w:hAnsi="Book Antiqua"/>
          <w:color w:val="000000" w:themeColor="text1"/>
          <w:sz w:val="24"/>
          <w:szCs w:val="24"/>
          <w:lang w:val="id-ID"/>
        </w:rPr>
        <w:fldChar w:fldCharType="begin" w:fldLock="1"/>
      </w:r>
      <w:r>
        <w:rPr>
          <w:rFonts w:ascii="Book Antiqua" w:hAnsi="Book Antiqua"/>
          <w:color w:val="000000" w:themeColor="text1"/>
          <w:sz w:val="24"/>
          <w:szCs w:val="24"/>
          <w:lang w:val="id-ID"/>
        </w:rPr>
        <w:instrText>ADDIN CSL_CITATION {"citationItems":[{"id":"ITEM-1","itemData":{"author":[{"dropping-particle":"","family":"Kamali","given":"M. H.","non-dropping-particle":"","parse-names":false,"suffix":""}],"container-title":"Proceedings of the International Conference on Islamic Moderation, Oxford University","id":"ITEM-1","issued":{"date-parts":[["2019"]]},"page":"45-62.","title":"Wasatiyyah as a Framework for Countering Extremism.","type":"paper-conference"},"uris":["http://www.mendeley.com/documents/?uuid=8bb66a50-0306-476b-a024-f4298db7e927"]}],"mendeley":{"formattedCitation":"(Kamali, 2019)","plainTextFormattedCitation":"(Kamali, 2019)","previouslyFormattedCitation":"(Kamali, 2019)"},"properties":{"noteIndex":0},"schema":"https://github.com/citation-style-language/schema/raw/master/csl-citation.json"}</w:instrText>
      </w:r>
      <w:r>
        <w:rPr>
          <w:rFonts w:ascii="Book Antiqua" w:hAnsi="Book Antiqua"/>
          <w:color w:val="000000" w:themeColor="text1"/>
          <w:sz w:val="24"/>
          <w:szCs w:val="24"/>
          <w:lang w:val="id-ID"/>
        </w:rPr>
        <w:fldChar w:fldCharType="separate"/>
      </w:r>
      <w:r w:rsidRPr="002D47D1">
        <w:rPr>
          <w:rFonts w:ascii="Book Antiqua" w:hAnsi="Book Antiqua"/>
          <w:noProof/>
          <w:color w:val="000000" w:themeColor="text1"/>
          <w:sz w:val="24"/>
          <w:szCs w:val="24"/>
          <w:lang w:val="id-ID"/>
        </w:rPr>
        <w:t>(Kamali, 2019)</w:t>
      </w:r>
      <w:r>
        <w:rPr>
          <w:rFonts w:ascii="Book Antiqua" w:hAnsi="Book Antiqua"/>
          <w:color w:val="000000" w:themeColor="text1"/>
          <w:sz w:val="24"/>
          <w:szCs w:val="24"/>
          <w:lang w:val="id-ID"/>
        </w:rPr>
        <w:fldChar w:fldCharType="end"/>
      </w:r>
      <w:r w:rsidRPr="001F7E5E">
        <w:rPr>
          <w:rFonts w:ascii="Book Antiqua" w:hAnsi="Book Antiqua"/>
          <w:color w:val="000000" w:themeColor="text1"/>
          <w:sz w:val="24"/>
          <w:szCs w:val="24"/>
          <w:lang w:val="id-ID"/>
        </w:rPr>
        <w:t>, moderasi merupakan karakter utama Islam yang menempatkan manusia pada posisi seimbang antara dua kutub ekstrem sehingga mampu menjalankan ajaran agama secara proporsional. Konsep tersebut sejalan dengan hasil penelitian yang menunjukkan bahwa larangan ghuluw bertujuan mencegah manusia terjebak pada sikap berlebihan yang dapat menghilangkan objektivitas dalam memahami agama. Hasil penelitian menunjukkan bahwa QS. An-Nisa' [4]:171 mengandung nilai pendidikan yang mendorong keseimbangan antara keyakinan dan rasionalitas sehingga individu mampu memahami agama secara lebih komprehensif.</w:t>
      </w:r>
    </w:p>
    <w:p w14:paraId="3D46550A" w14:textId="77777777" w:rsidR="00F943A6" w:rsidRDefault="00F943A6" w:rsidP="00F943A6">
      <w:pPr>
        <w:widowControl/>
        <w:ind w:firstLine="709"/>
        <w:jc w:val="both"/>
        <w:rPr>
          <w:rFonts w:ascii="Book Antiqua" w:hAnsi="Book Antiqua"/>
          <w:color w:val="000000" w:themeColor="text1"/>
          <w:sz w:val="24"/>
          <w:szCs w:val="24"/>
          <w:lang w:val="id-ID"/>
        </w:rPr>
      </w:pPr>
      <w:r w:rsidRPr="001F7E5E">
        <w:rPr>
          <w:rFonts w:ascii="Book Antiqua" w:hAnsi="Book Antiqua"/>
          <w:color w:val="000000" w:themeColor="text1"/>
          <w:sz w:val="24"/>
          <w:szCs w:val="24"/>
          <w:lang w:val="id-ID"/>
        </w:rPr>
        <w:t>Temuan penelitian juga memiliki keterkaitan dengan pemikiran Abdullah Saeed mengenai pentingnya pendekatan kontekstual dalam memahami ajaran Islam. Dalam QS. An-Nisa' [4]:171, larangan ghuluw menunjukkan bahwa Al-Qur'an telah memberikan peringatan agar manusia tidak memahami agama secara sempit sehingga menghasilkan kesimpulan yang ekstrem. Persamaan antara teori moderasi modern dan hasil penelitian terletak pada penekanannya terhadap keseimbangan dan penghormatan terhadap kompleksitas realitas kehidupan. Namun, perbedaannya terletak pada sumber legitimasi yang digunakan. Teori moderasi modern umumnya berangkat dari kajian sosial dan kemanusiaan, sedangkan konsep larangan ghuluw dalam Al-Qur'an berakar pada wahyu sebagai sumber kebenaran utama. Dengan demikian, hasil penelitian ini menunjukkan bahwa QS. An-Nisa' [4]:171 memiliki relevansi yang sangat kuat dengan berbagai teori moderasi beragama yang berkembang dalam kajian internasional.</w:t>
      </w:r>
    </w:p>
    <w:p w14:paraId="4E3934C7" w14:textId="77777777" w:rsidR="00F943A6" w:rsidRPr="001F7E5E" w:rsidRDefault="00F943A6" w:rsidP="00F943A6">
      <w:pPr>
        <w:widowControl/>
        <w:jc w:val="both"/>
        <w:rPr>
          <w:rFonts w:ascii="Book Antiqua" w:hAnsi="Book Antiqua"/>
          <w:b/>
          <w:bCs/>
          <w:color w:val="000000" w:themeColor="text1"/>
          <w:sz w:val="24"/>
          <w:szCs w:val="24"/>
          <w:lang w:val="id-ID"/>
        </w:rPr>
      </w:pPr>
      <w:r w:rsidRPr="001F7E5E">
        <w:rPr>
          <w:rFonts w:ascii="Book Antiqua" w:hAnsi="Book Antiqua"/>
          <w:b/>
          <w:bCs/>
          <w:color w:val="000000" w:themeColor="text1"/>
          <w:sz w:val="24"/>
          <w:szCs w:val="24"/>
          <w:lang w:val="id-ID"/>
        </w:rPr>
        <w:t>Nilai Wasathiyyah dan Teori Pendidikan Multikultural</w:t>
      </w:r>
    </w:p>
    <w:p w14:paraId="03AA8F76" w14:textId="77777777" w:rsidR="00F943A6" w:rsidRPr="001F7E5E" w:rsidRDefault="00F943A6" w:rsidP="00F943A6">
      <w:pPr>
        <w:widowControl/>
        <w:ind w:firstLine="709"/>
        <w:jc w:val="both"/>
        <w:rPr>
          <w:rFonts w:ascii="Book Antiqua" w:hAnsi="Book Antiqua"/>
          <w:color w:val="000000" w:themeColor="text1"/>
          <w:sz w:val="24"/>
          <w:szCs w:val="24"/>
          <w:lang w:val="id-ID"/>
        </w:rPr>
      </w:pPr>
      <w:r w:rsidRPr="001F7E5E">
        <w:rPr>
          <w:rFonts w:ascii="Book Antiqua" w:hAnsi="Book Antiqua"/>
          <w:color w:val="000000" w:themeColor="text1"/>
          <w:sz w:val="24"/>
          <w:szCs w:val="24"/>
          <w:lang w:val="id-ID"/>
        </w:rPr>
        <w:t xml:space="preserve">Hasil penelitian menunjukkan bahwa konsep anti-ekstremisme dalam QS. An-Nisa' [4]:171 memiliki hubungan yang erat dengan nilai wasathiyyah atau moderasi yang menjadi fondasi pendidikan multikultural. Temuan ini sejalan dengan teori pendidikan multikultural yang dikembangkan oleh James A. Banks. </w:t>
      </w:r>
      <w:r w:rsidRPr="001F7E5E">
        <w:rPr>
          <w:rFonts w:ascii="Book Antiqua" w:hAnsi="Book Antiqua"/>
          <w:color w:val="000000" w:themeColor="text1"/>
          <w:sz w:val="24"/>
          <w:szCs w:val="24"/>
          <w:lang w:val="id-ID"/>
        </w:rPr>
        <w:lastRenderedPageBreak/>
        <w:t xml:space="preserve">Menurut </w:t>
      </w:r>
      <w:r>
        <w:rPr>
          <w:rFonts w:ascii="Book Antiqua" w:hAnsi="Book Antiqua"/>
          <w:color w:val="000000" w:themeColor="text1"/>
          <w:sz w:val="24"/>
          <w:szCs w:val="24"/>
          <w:lang w:val="id-ID"/>
        </w:rPr>
        <w:t xml:space="preserve">Tim Peneliti Pusat Studi Islam </w:t>
      </w:r>
      <w:r>
        <w:rPr>
          <w:rFonts w:ascii="Book Antiqua" w:hAnsi="Book Antiqua"/>
          <w:color w:val="000000" w:themeColor="text1"/>
          <w:sz w:val="24"/>
          <w:szCs w:val="24"/>
          <w:lang w:val="id-ID"/>
        </w:rPr>
        <w:fldChar w:fldCharType="begin" w:fldLock="1"/>
      </w:r>
      <w:r>
        <w:rPr>
          <w:rFonts w:ascii="Book Antiqua" w:hAnsi="Book Antiqua"/>
          <w:color w:val="000000" w:themeColor="text1"/>
          <w:sz w:val="24"/>
          <w:szCs w:val="24"/>
          <w:lang w:val="id-ID"/>
        </w:rPr>
        <w:instrText>ADDIN CSL_CITATION {"citationItems":[{"id":"ITEM-1","itemData":{"author":[{"dropping-particle":"","family":"Tim Peneliti Pusat Studi Islam.","given":"","non-dropping-particle":"","parse-names":false,"suffix":""}],"container-title":"Prosiding Konferensi Nasional Pendidikan Islam","id":"ITEM-1","issued":{"date-parts":[["2021"]]},"page":"112-130","publisher-place":"Yogyakarta","title":"Strategi Pendidikan Anti-Ekstremisme di Lembaga Pendidikan Islam.","type":"paper-conference"},"uris":["http://www.mendeley.com/documents/?uuid=3b7b32d6-6892-4192-914b-0d3d8fc63980"]}],"mendeley":{"formattedCitation":"(Tim Peneliti Pusat Studi Islam., 2021)","plainTextFormattedCitation":"(Tim Peneliti Pusat Studi Islam., 2021)","previouslyFormattedCitation":"(Tim Peneliti Pusat Studi Islam., 2021)"},"properties":{"noteIndex":0},"schema":"https://github.com/citation-style-language/schema/raw/master/csl-citation.json"}</w:instrText>
      </w:r>
      <w:r>
        <w:rPr>
          <w:rFonts w:ascii="Book Antiqua" w:hAnsi="Book Antiqua"/>
          <w:color w:val="000000" w:themeColor="text1"/>
          <w:sz w:val="24"/>
          <w:szCs w:val="24"/>
          <w:lang w:val="id-ID"/>
        </w:rPr>
        <w:fldChar w:fldCharType="separate"/>
      </w:r>
      <w:r w:rsidRPr="002D47D1">
        <w:rPr>
          <w:rFonts w:ascii="Book Antiqua" w:hAnsi="Book Antiqua"/>
          <w:noProof/>
          <w:color w:val="000000" w:themeColor="text1"/>
          <w:sz w:val="24"/>
          <w:szCs w:val="24"/>
          <w:lang w:val="id-ID"/>
        </w:rPr>
        <w:t>(Tim Peneliti Pusat Studi Islam., 2021)</w:t>
      </w:r>
      <w:r>
        <w:rPr>
          <w:rFonts w:ascii="Book Antiqua" w:hAnsi="Book Antiqua"/>
          <w:color w:val="000000" w:themeColor="text1"/>
          <w:sz w:val="24"/>
          <w:szCs w:val="24"/>
          <w:lang w:val="id-ID"/>
        </w:rPr>
        <w:fldChar w:fldCharType="end"/>
      </w:r>
      <w:r w:rsidRPr="001F7E5E">
        <w:rPr>
          <w:rFonts w:ascii="Book Antiqua" w:hAnsi="Book Antiqua"/>
          <w:color w:val="000000" w:themeColor="text1"/>
          <w:sz w:val="24"/>
          <w:szCs w:val="24"/>
          <w:lang w:val="id-ID"/>
        </w:rPr>
        <w:t>, pendidikan multikultural bertujuan membentuk peserta didik yang mampu menghargai keberagaman budaya, agama, dan identitas sosial dalam kehidupan masyarakat. Prinsip tersebut memiliki kesesuaian dengan larangan ghuluw yang terkandung dalam QS. An-Nisa' [4]:171 karena sikap berlebihan dalam beragama sering kali menjadi penyebab munculnya intoleransi terhadap kelompok lain. Dalam perspektif tafsir tarbawi, ayat tersebut mengajarkan bahwa pemahaman agama harus dibangun di atas prinsip keadilan, keseimbangan, dan penghormatan terhadap sesama manusia. Oleh karena itu, nilai wasathiyyah dapat dipahami sebagai landasan pendidikan yang mampu mengembangkan sikap inklusif dan toleran dalam kehidupan sosial.</w:t>
      </w:r>
    </w:p>
    <w:p w14:paraId="414E5B30" w14:textId="77777777" w:rsidR="00F943A6" w:rsidRDefault="00F943A6" w:rsidP="00F943A6">
      <w:pPr>
        <w:widowControl/>
        <w:ind w:firstLine="709"/>
        <w:jc w:val="both"/>
        <w:rPr>
          <w:rFonts w:ascii="Book Antiqua" w:hAnsi="Book Antiqua"/>
          <w:color w:val="000000" w:themeColor="text1"/>
          <w:sz w:val="24"/>
          <w:szCs w:val="24"/>
          <w:lang w:val="id-ID"/>
        </w:rPr>
      </w:pPr>
      <w:r w:rsidRPr="001F7E5E">
        <w:rPr>
          <w:rFonts w:ascii="Book Antiqua" w:hAnsi="Book Antiqua"/>
          <w:color w:val="000000" w:themeColor="text1"/>
          <w:sz w:val="24"/>
          <w:szCs w:val="24"/>
          <w:lang w:val="id-ID"/>
        </w:rPr>
        <w:t>Temuan penelitian ini juga relevan dengan pemikiran Geneva Gay mengenai culturally responsive teaching. Dalam konteks QS. An-Nisa' [4]:171, larangan ghuluw mengandung pesan agar manusia tidak terjebak pada fanatisme yang menyebabkan penolakan terhadap keberagaman. Sikap tersebut sangat penting dalam masyarakat modern yang ditandai oleh interaksi antar kelompok dengan latar belakang yang beragam. Meskipun teori pendidikan multikultural lahir dari konteks sosial yang berbeda, terdapat titik temu yang kuat dengan nilai-nilai yang terkandung dalam QS. An-Nisa' [4]:171. Perbedaannya terletak pada sumber normatif yang digunakan, di mana pendidikan multikultural berangkat dari prinsip hak asasi manusia, sedangkan konsep wasathiyyah berangkat dari nilai-nilai wahyu. Dengan demikian, hasil penelitian menunjukkan bahwa larangan ghuluw memiliki kontribusi yang signifikan dalam membangun pendidikan yang menghargai keberagaman dan mencegah berkembangnya ekstremisme.</w:t>
      </w:r>
    </w:p>
    <w:p w14:paraId="760D188D" w14:textId="77777777" w:rsidR="00F943A6" w:rsidRPr="001F7E5E" w:rsidRDefault="00F943A6" w:rsidP="00F943A6">
      <w:pPr>
        <w:widowControl/>
        <w:jc w:val="both"/>
        <w:rPr>
          <w:rFonts w:ascii="Book Antiqua" w:hAnsi="Book Antiqua"/>
          <w:b/>
          <w:bCs/>
          <w:color w:val="000000" w:themeColor="text1"/>
          <w:sz w:val="24"/>
          <w:szCs w:val="24"/>
          <w:lang w:val="id-ID"/>
        </w:rPr>
      </w:pPr>
      <w:r w:rsidRPr="001F7E5E">
        <w:rPr>
          <w:rFonts w:ascii="Book Antiqua" w:hAnsi="Book Antiqua"/>
          <w:b/>
          <w:bCs/>
          <w:color w:val="000000" w:themeColor="text1"/>
          <w:sz w:val="24"/>
          <w:szCs w:val="24"/>
          <w:lang w:val="id-ID"/>
        </w:rPr>
        <w:t>Pendidikan Anti-Ekstremisme dan Teori Peace Education</w:t>
      </w:r>
    </w:p>
    <w:p w14:paraId="6F73CA70" w14:textId="77777777" w:rsidR="00F943A6" w:rsidRPr="001F7E5E" w:rsidRDefault="00F943A6" w:rsidP="00F943A6">
      <w:pPr>
        <w:widowControl/>
        <w:ind w:firstLine="709"/>
        <w:jc w:val="both"/>
        <w:rPr>
          <w:rFonts w:ascii="Book Antiqua" w:hAnsi="Book Antiqua"/>
          <w:color w:val="000000" w:themeColor="text1"/>
          <w:sz w:val="24"/>
          <w:szCs w:val="24"/>
          <w:lang w:val="id-ID"/>
        </w:rPr>
      </w:pPr>
      <w:r w:rsidRPr="001F7E5E">
        <w:rPr>
          <w:rFonts w:ascii="Book Antiqua" w:hAnsi="Book Antiqua"/>
          <w:color w:val="000000" w:themeColor="text1"/>
          <w:sz w:val="24"/>
          <w:szCs w:val="24"/>
          <w:lang w:val="id-ID"/>
        </w:rPr>
        <w:t xml:space="preserve">Hasil penelitian menunjukkan bahwa konsep pendidikan anti-ekstremisme dalam QS. An-Nisa' [4]:171 memiliki kesesuaian dengan teori peace education yang berkembang dalam kajian internasional. Menurut </w:t>
      </w:r>
      <w:r>
        <w:rPr>
          <w:rFonts w:ascii="Book Antiqua" w:hAnsi="Book Antiqua"/>
          <w:color w:val="000000" w:themeColor="text1"/>
          <w:sz w:val="24"/>
          <w:szCs w:val="24"/>
          <w:lang w:val="id-ID"/>
        </w:rPr>
        <w:t xml:space="preserve">Zainuddin </w:t>
      </w:r>
      <w:r>
        <w:rPr>
          <w:rFonts w:ascii="Book Antiqua" w:hAnsi="Book Antiqua"/>
          <w:color w:val="000000" w:themeColor="text1"/>
          <w:sz w:val="24"/>
          <w:szCs w:val="24"/>
          <w:lang w:val="id-ID"/>
        </w:rPr>
        <w:fldChar w:fldCharType="begin" w:fldLock="1"/>
      </w:r>
      <w:r>
        <w:rPr>
          <w:rFonts w:ascii="Book Antiqua" w:hAnsi="Book Antiqua"/>
          <w:color w:val="000000" w:themeColor="text1"/>
          <w:sz w:val="24"/>
          <w:szCs w:val="24"/>
          <w:lang w:val="id-ID"/>
        </w:rPr>
        <w:instrText>ADDIN CSL_CITATION {"citationItems":[{"id":"ITEM-1","itemData":{"author":[{"dropping-particle":"","family":"Zainuddin","given":"H.","non-dropping-particle":"","parse-names":false,"suffix":""}],"container-title":"Jurnal Pendidikan Islam","id":"ITEM-1","issued":{"date-parts":[["2020"]]},"page":"145-163.","title":"Pendidikan Anti-Radikalisme Berbasis Nilai Wasathiyyah.","type":"article-journal","volume":"10(2)"},"uris":["http://www.mendeley.com/documents/?uuid=8dd3c7a7-d748-4024-9c0a-5658e467abda"]}],"mendeley":{"formattedCitation":"(Zainuddin, 2020)","plainTextFormattedCitation":"(Zainuddin, 2020)","previouslyFormattedCitation":"(Zainuddin, 2020)"},"properties":{"noteIndex":0},"schema":"https://github.com/citation-style-language/schema/raw/master/csl-citation.json"}</w:instrText>
      </w:r>
      <w:r>
        <w:rPr>
          <w:rFonts w:ascii="Book Antiqua" w:hAnsi="Book Antiqua"/>
          <w:color w:val="000000" w:themeColor="text1"/>
          <w:sz w:val="24"/>
          <w:szCs w:val="24"/>
          <w:lang w:val="id-ID"/>
        </w:rPr>
        <w:fldChar w:fldCharType="separate"/>
      </w:r>
      <w:r w:rsidRPr="001E2999">
        <w:rPr>
          <w:rFonts w:ascii="Book Antiqua" w:hAnsi="Book Antiqua"/>
          <w:noProof/>
          <w:color w:val="000000" w:themeColor="text1"/>
          <w:sz w:val="24"/>
          <w:szCs w:val="24"/>
          <w:lang w:val="id-ID"/>
        </w:rPr>
        <w:t>(Zainuddin, 2020)</w:t>
      </w:r>
      <w:r>
        <w:rPr>
          <w:rFonts w:ascii="Book Antiqua" w:hAnsi="Book Antiqua"/>
          <w:color w:val="000000" w:themeColor="text1"/>
          <w:sz w:val="24"/>
          <w:szCs w:val="24"/>
          <w:lang w:val="id-ID"/>
        </w:rPr>
        <w:fldChar w:fldCharType="end"/>
      </w:r>
      <w:r w:rsidRPr="001F7E5E">
        <w:rPr>
          <w:rFonts w:ascii="Book Antiqua" w:hAnsi="Book Antiqua"/>
          <w:color w:val="000000" w:themeColor="text1"/>
          <w:sz w:val="24"/>
          <w:szCs w:val="24"/>
          <w:lang w:val="id-ID"/>
        </w:rPr>
        <w:t>, pendidikan perdamaian bertujuan membangun kesadaran individu agar mampu menyelesaikan konflik secara konstruktif dan menghindari segala bentuk kekerasan. Temuan penelitian menunjukkan bahwa larangan ghuluw mengandung nilai-nilai yang mendorong terciptanya perdamaian karena sikap berlebihan dalam beragama sering kali menjadi akar munculnya konflik sosial dan kekerasan atas nama agama. Dalam perspektif tafsir tarbawi, pendidikan yang berlandaskan QS. An-Nisa' [4]:171 bertujuan membentuk individu yang mampu memahami agama secara proporsional sehingga tidak mudah terprovokasi oleh ideologi yang bersifat radikal. Dengan demikian, ayat tersebut memiliki fungsi preventif dalam mencegah berkembangnya sikap yang berpotensi mengganggu harmoni sosial.</w:t>
      </w:r>
    </w:p>
    <w:p w14:paraId="482A1636" w14:textId="77777777" w:rsidR="00F943A6" w:rsidRDefault="00F943A6" w:rsidP="00F943A6">
      <w:pPr>
        <w:widowControl/>
        <w:ind w:firstLine="709"/>
        <w:jc w:val="both"/>
        <w:rPr>
          <w:rFonts w:ascii="Book Antiqua" w:hAnsi="Book Antiqua"/>
          <w:color w:val="000000" w:themeColor="text1"/>
          <w:sz w:val="24"/>
          <w:szCs w:val="24"/>
          <w:lang w:val="id-ID"/>
        </w:rPr>
      </w:pPr>
      <w:r w:rsidRPr="001F7E5E">
        <w:rPr>
          <w:rFonts w:ascii="Book Antiqua" w:hAnsi="Book Antiqua"/>
          <w:color w:val="000000" w:themeColor="text1"/>
          <w:sz w:val="24"/>
          <w:szCs w:val="24"/>
          <w:lang w:val="id-ID"/>
        </w:rPr>
        <w:t>Temuan penelitian ini juga memiliki kesamaan dengan pemikiran Betty Reardon mengenai pentingnya pendidikan untuk membangun budaya damai. Reardon</w:t>
      </w:r>
      <w:r>
        <w:rPr>
          <w:rFonts w:ascii="Book Antiqua" w:hAnsi="Book Antiqua"/>
          <w:color w:val="000000" w:themeColor="text1"/>
          <w:sz w:val="24"/>
          <w:szCs w:val="24"/>
          <w:lang w:val="id-ID"/>
        </w:rPr>
        <w:t xml:space="preserve"> </w:t>
      </w:r>
      <w:r>
        <w:rPr>
          <w:rFonts w:ascii="Book Antiqua" w:hAnsi="Book Antiqua"/>
          <w:color w:val="000000" w:themeColor="text1"/>
          <w:sz w:val="24"/>
          <w:szCs w:val="24"/>
          <w:lang w:val="id-ID"/>
        </w:rPr>
        <w:fldChar w:fldCharType="begin" w:fldLock="1"/>
      </w:r>
      <w:r>
        <w:rPr>
          <w:rFonts w:ascii="Book Antiqua" w:hAnsi="Book Antiqua"/>
          <w:color w:val="000000" w:themeColor="text1"/>
          <w:sz w:val="24"/>
          <w:szCs w:val="24"/>
          <w:lang w:val="id-ID"/>
        </w:rPr>
        <w:instrText>ADDIN CSL_CITATION {"citationItems":[{"id":"ITEM-1","itemData":{"author":[{"dropping-particle":"","family":"Reardon","given":"B. A.","non-dropping-particle":"","parse-names":false,"suffix":""}],"id":"ITEM-1","issued":{"date-parts":[["1988"]]},"publisher":"Teachers College Press.","publisher-place":"New York, NY","title":"Comprehensive Peace Education: Educating for Global Responsibility.","type":"book"},"uris":["http://www.mendeley.com/documents/?uuid=4c5cb1a1-fb84-42ce-bfd5-ed8418f9d636"]}],"mendeley":{"formattedCitation":"(Reardon, 1988)","plainTextFormattedCitation":"(Reardon, 1988)","previouslyFormattedCitation":"(Reardon, 1988)"},"properties":{"noteIndex":0},"schema":"https://github.com/citation-style-language/schema/raw/master/csl-citation.json"}</w:instrText>
      </w:r>
      <w:r>
        <w:rPr>
          <w:rFonts w:ascii="Book Antiqua" w:hAnsi="Book Antiqua"/>
          <w:color w:val="000000" w:themeColor="text1"/>
          <w:sz w:val="24"/>
          <w:szCs w:val="24"/>
          <w:lang w:val="id-ID"/>
        </w:rPr>
        <w:fldChar w:fldCharType="separate"/>
      </w:r>
      <w:r w:rsidRPr="002446B8">
        <w:rPr>
          <w:rFonts w:ascii="Book Antiqua" w:hAnsi="Book Antiqua"/>
          <w:noProof/>
          <w:color w:val="000000" w:themeColor="text1"/>
          <w:sz w:val="24"/>
          <w:szCs w:val="24"/>
          <w:lang w:val="id-ID"/>
        </w:rPr>
        <w:t>(Reardon, 1988)</w:t>
      </w:r>
      <w:r>
        <w:rPr>
          <w:rFonts w:ascii="Book Antiqua" w:hAnsi="Book Antiqua"/>
          <w:color w:val="000000" w:themeColor="text1"/>
          <w:sz w:val="24"/>
          <w:szCs w:val="24"/>
          <w:lang w:val="id-ID"/>
        </w:rPr>
        <w:fldChar w:fldCharType="end"/>
      </w:r>
      <w:r w:rsidRPr="001F7E5E">
        <w:rPr>
          <w:rFonts w:ascii="Book Antiqua" w:hAnsi="Book Antiqua"/>
          <w:color w:val="000000" w:themeColor="text1"/>
          <w:sz w:val="24"/>
          <w:szCs w:val="24"/>
          <w:lang w:val="id-ID"/>
        </w:rPr>
        <w:t xml:space="preserve"> menjelaskan bahwa pendidikan harus mengembangkan sikap toleransi, penghormatan terhadap hak-hak orang lain, dan kemampuan hidup berdampingan secara damai dalam masyarakat yang plural. Nilai-nilai tersebut tercermin dalam larangan ghuluw yang mengajarkan pentingnya keseimbangan dan penghormatan terhadap kebenaran. Selain itu, </w:t>
      </w:r>
      <w:r>
        <w:rPr>
          <w:rFonts w:ascii="Book Antiqua" w:hAnsi="Book Antiqua"/>
          <w:color w:val="000000" w:themeColor="text1"/>
          <w:sz w:val="24"/>
          <w:szCs w:val="24"/>
          <w:lang w:val="id-ID"/>
        </w:rPr>
        <w:t xml:space="preserve">Abdullah </w:t>
      </w:r>
      <w:r>
        <w:rPr>
          <w:rFonts w:ascii="Book Antiqua" w:hAnsi="Book Antiqua"/>
          <w:color w:val="000000" w:themeColor="text1"/>
          <w:sz w:val="24"/>
          <w:szCs w:val="24"/>
          <w:lang w:val="id-ID"/>
        </w:rPr>
        <w:lastRenderedPageBreak/>
        <w:fldChar w:fldCharType="begin" w:fldLock="1"/>
      </w:r>
      <w:r>
        <w:rPr>
          <w:rFonts w:ascii="Book Antiqua" w:hAnsi="Book Antiqua"/>
          <w:color w:val="000000" w:themeColor="text1"/>
          <w:sz w:val="24"/>
          <w:szCs w:val="24"/>
          <w:lang w:val="id-ID"/>
        </w:rPr>
        <w:instrText>ADDIN CSL_CITATION {"citationItems":[{"id":"ITEM-1","itemData":{"author":[{"dropping-particle":"","family":"Abdullah","given":"M. Amin.","non-dropping-particle":"","parse-names":false,"suffix":""}],"container-title":"Jurnal Pendidikan Islam","id":"ITEM-1","issued":{"date-parts":[["2015"]]},"page":"45-62.","title":"Religious Moderation in the Digital Era: Challenges and Opportunities.","type":"article-journal","volume":"4(2)"},"uris":["http://www.mendeley.com/documents/?uuid=474e9772-8521-43a2-b93b-08a207c2d754"]}],"mendeley":{"formattedCitation":"(Abdullah, 2015)","plainTextFormattedCitation":"(Abdullah, 2015)","previouslyFormattedCitation":"(Abdullah, 2015)"},"properties":{"noteIndex":0},"schema":"https://github.com/citation-style-language/schema/raw/master/csl-citation.json"}</w:instrText>
      </w:r>
      <w:r>
        <w:rPr>
          <w:rFonts w:ascii="Book Antiqua" w:hAnsi="Book Antiqua"/>
          <w:color w:val="000000" w:themeColor="text1"/>
          <w:sz w:val="24"/>
          <w:szCs w:val="24"/>
          <w:lang w:val="id-ID"/>
        </w:rPr>
        <w:fldChar w:fldCharType="separate"/>
      </w:r>
      <w:r w:rsidRPr="001E2999">
        <w:rPr>
          <w:rFonts w:ascii="Book Antiqua" w:hAnsi="Book Antiqua"/>
          <w:noProof/>
          <w:color w:val="000000" w:themeColor="text1"/>
          <w:sz w:val="24"/>
          <w:szCs w:val="24"/>
          <w:lang w:val="id-ID"/>
        </w:rPr>
        <w:t>(Abdullah, 2015)</w:t>
      </w:r>
      <w:r>
        <w:rPr>
          <w:rFonts w:ascii="Book Antiqua" w:hAnsi="Book Antiqua"/>
          <w:color w:val="000000" w:themeColor="text1"/>
          <w:sz w:val="24"/>
          <w:szCs w:val="24"/>
          <w:lang w:val="id-ID"/>
        </w:rPr>
        <w:fldChar w:fldCharType="end"/>
      </w:r>
      <w:r>
        <w:rPr>
          <w:rFonts w:ascii="Book Antiqua" w:hAnsi="Book Antiqua"/>
          <w:color w:val="000000" w:themeColor="text1"/>
          <w:sz w:val="24"/>
          <w:szCs w:val="24"/>
          <w:lang w:val="id-ID"/>
        </w:rPr>
        <w:t xml:space="preserve"> </w:t>
      </w:r>
      <w:r w:rsidRPr="001F7E5E">
        <w:rPr>
          <w:rFonts w:ascii="Book Antiqua" w:hAnsi="Book Antiqua"/>
          <w:color w:val="000000" w:themeColor="text1"/>
          <w:sz w:val="24"/>
          <w:szCs w:val="24"/>
          <w:lang w:val="id-ID"/>
        </w:rPr>
        <w:t>menjelaskan bahwa pendidikan perdamaian berfungsi menghilangkan akar kekerasan melalui pengembangan pemikiran kritis dan kemampuan dialog. Hasil penelitian menunjukkan bahwa QS. An-Nisa' [4]:171 juga mengandung pendidikan kritis yang mendorong manusia untuk menghindari fanatisme dan memahami agama secara objektif. Persamaan antara teori peace education dan konsep anti-ekstremisme dalam Al-Qur'an terletak pada tujuannya untuk menciptakan kehidupan yang damai dan harmonis. Namun demikian, konsep Al-Qur'an memiliki dimensi spiritual yang lebih kuat karena menjadikan wahyu sebagai sumber utama pembentukan karakter damai. Oleh karena itu, pendidikan anti-ekstremisme dalam QS. An-Nisa' [4]:171 dapat dipahami sebagai model pendidikan perdamaian yang berlandaskan nilai-nilai Islam.</w:t>
      </w:r>
    </w:p>
    <w:p w14:paraId="11A2E246" w14:textId="77777777" w:rsidR="00F943A6" w:rsidRPr="001F7E5E" w:rsidRDefault="00F943A6" w:rsidP="00F943A6">
      <w:pPr>
        <w:widowControl/>
        <w:jc w:val="both"/>
        <w:rPr>
          <w:rFonts w:ascii="Book Antiqua" w:hAnsi="Book Antiqua"/>
          <w:b/>
          <w:bCs/>
          <w:color w:val="000000" w:themeColor="text1"/>
          <w:sz w:val="24"/>
          <w:szCs w:val="24"/>
          <w:lang w:val="id-ID"/>
        </w:rPr>
      </w:pPr>
      <w:r w:rsidRPr="001F7E5E">
        <w:rPr>
          <w:rFonts w:ascii="Book Antiqua" w:hAnsi="Book Antiqua"/>
          <w:b/>
          <w:bCs/>
          <w:color w:val="000000" w:themeColor="text1"/>
          <w:sz w:val="24"/>
          <w:szCs w:val="24"/>
          <w:lang w:val="id-ID"/>
        </w:rPr>
        <w:t>Relevansi Tafsir Tarbawi terhadap Pencegahan Ekstremisme di Era Digital</w:t>
      </w:r>
    </w:p>
    <w:p w14:paraId="30CF43F0" w14:textId="77777777" w:rsidR="00F943A6" w:rsidRPr="001F7E5E" w:rsidRDefault="00F943A6" w:rsidP="00F943A6">
      <w:pPr>
        <w:widowControl/>
        <w:ind w:firstLine="709"/>
        <w:jc w:val="both"/>
        <w:rPr>
          <w:rFonts w:ascii="Book Antiqua" w:hAnsi="Book Antiqua"/>
          <w:color w:val="000000" w:themeColor="text1"/>
          <w:sz w:val="24"/>
          <w:szCs w:val="24"/>
          <w:lang w:val="id-ID"/>
        </w:rPr>
      </w:pPr>
      <w:r w:rsidRPr="001F7E5E">
        <w:rPr>
          <w:rFonts w:ascii="Book Antiqua" w:hAnsi="Book Antiqua"/>
          <w:color w:val="000000" w:themeColor="text1"/>
          <w:sz w:val="24"/>
          <w:szCs w:val="24"/>
          <w:lang w:val="id-ID"/>
        </w:rPr>
        <w:t xml:space="preserve">Hasil penelitian menunjukkan bahwa nilai-nilai pendidikan yang terkandung dalam QS. An-Nisa' [4]:171 memiliki relevansi yang sangat kuat dalam menghadapi tantangan era digital. Temuan ini memiliki keterkaitan dengan teori Network Society yang dikembangkan oleh Manuel Castells. Menurut </w:t>
      </w:r>
      <w:r w:rsidRPr="002446B8">
        <w:rPr>
          <w:rFonts w:ascii="Book Antiqua" w:hAnsi="Book Antiqua"/>
          <w:color w:val="000000" w:themeColor="text1"/>
          <w:sz w:val="24"/>
          <w:szCs w:val="24"/>
          <w:lang w:val="id-ID"/>
        </w:rPr>
        <w:t xml:space="preserve">Castells </w:t>
      </w:r>
      <w:r w:rsidRPr="002446B8">
        <w:rPr>
          <w:rFonts w:ascii="Book Antiqua" w:hAnsi="Book Antiqua"/>
          <w:color w:val="000000" w:themeColor="text1"/>
          <w:sz w:val="24"/>
          <w:szCs w:val="24"/>
          <w:lang w:val="id-ID"/>
        </w:rPr>
        <w:fldChar w:fldCharType="begin" w:fldLock="1"/>
      </w:r>
      <w:r>
        <w:rPr>
          <w:rFonts w:ascii="Book Antiqua" w:hAnsi="Book Antiqua"/>
          <w:color w:val="000000" w:themeColor="text1"/>
          <w:sz w:val="24"/>
          <w:szCs w:val="24"/>
          <w:lang w:val="id-ID"/>
        </w:rPr>
        <w:instrText>ADDIN CSL_CITATION {"citationItems":[{"id":"ITEM-1","itemData":{"author":[{"dropping-particle":"","family":"Castells","given":"Manuel","non-dropping-particle":"","parse-names":false,"suffix":""}],"edition":"Second Edi","id":"ITEM-1","issued":{"date-parts":[["2010"]]},"publisher":"Wiley-Blackwell","publisher-place":"Malden, MA","title":"The Rise of the Network Society","type":"book"},"uris":["http://www.mendeley.com/documents/?uuid=94ab7f2a-642d-4ca1-ac5a-827ffee6dc70"]}],"mendeley":{"formattedCitation":"(Castells, 2010)","plainTextFormattedCitation":"(Castells, 2010)","previouslyFormattedCitation":"(Castells, 2010)"},"properties":{"noteIndex":0},"schema":"https://github.com/citation-style-language/schema/raw/master/csl-citation.json"}</w:instrText>
      </w:r>
      <w:r w:rsidRPr="002446B8">
        <w:rPr>
          <w:rFonts w:ascii="Book Antiqua" w:hAnsi="Book Antiqua"/>
          <w:color w:val="000000" w:themeColor="text1"/>
          <w:sz w:val="24"/>
          <w:szCs w:val="24"/>
          <w:lang w:val="id-ID"/>
        </w:rPr>
        <w:fldChar w:fldCharType="separate"/>
      </w:r>
      <w:r w:rsidRPr="002446B8">
        <w:rPr>
          <w:rFonts w:ascii="Book Antiqua" w:hAnsi="Book Antiqua"/>
          <w:noProof/>
          <w:color w:val="000000" w:themeColor="text1"/>
          <w:sz w:val="24"/>
          <w:szCs w:val="24"/>
          <w:lang w:val="id-ID"/>
        </w:rPr>
        <w:t>(Castells, 2010)</w:t>
      </w:r>
      <w:r w:rsidRPr="002446B8">
        <w:rPr>
          <w:rFonts w:ascii="Book Antiqua" w:hAnsi="Book Antiqua"/>
          <w:color w:val="000000" w:themeColor="text1"/>
          <w:sz w:val="24"/>
          <w:szCs w:val="24"/>
          <w:lang w:val="id-ID"/>
        </w:rPr>
        <w:fldChar w:fldCharType="end"/>
      </w:r>
      <w:r w:rsidRPr="002446B8">
        <w:rPr>
          <w:rFonts w:ascii="Book Antiqua" w:hAnsi="Book Antiqua"/>
          <w:color w:val="000000" w:themeColor="text1"/>
          <w:sz w:val="24"/>
          <w:szCs w:val="24"/>
          <w:lang w:val="id-ID"/>
        </w:rPr>
        <w:t>,</w:t>
      </w:r>
      <w:r w:rsidRPr="001F7E5E">
        <w:rPr>
          <w:rFonts w:ascii="Book Antiqua" w:hAnsi="Book Antiqua"/>
          <w:color w:val="000000" w:themeColor="text1"/>
          <w:sz w:val="24"/>
          <w:szCs w:val="24"/>
          <w:lang w:val="id-ID"/>
        </w:rPr>
        <w:t xml:space="preserve"> masyarakat modern hidup dalam jaringan komunikasi global yang memungkinkan informasi menyebar dengan sangat cepat tanpa batas geografis. Kondisi tersebut menciptakan peluang sekaligus tantangan karena berbagai ideologi, termasuk ideologi ekstrem, dapat tersebar secara luas melalui media digital. Hasil penelitian menunjukkan bahwa larangan ghuluw dapat berfungsi sebagai landasan pendidikan yang membekali individu dengan kemampuan berpikir kritis sehingga mampu menyaring informasi keagamaan yang diterima dari berbagai sumber. Dengan demikian, konsep anti-ekstremisme dalam QS. An-Nisa' [4]:171 menjadi semakin relevan di tengah meningkatnya arus informasi yang tidak selalu dapat diverifikasi kebenarannya.</w:t>
      </w:r>
    </w:p>
    <w:p w14:paraId="3CB0600B" w14:textId="162323F5" w:rsidR="00404778" w:rsidRDefault="00F943A6" w:rsidP="00F943A6">
      <w:pPr>
        <w:widowControl/>
        <w:ind w:firstLine="709"/>
        <w:jc w:val="both"/>
        <w:rPr>
          <w:rFonts w:ascii="Book Antiqua" w:hAnsi="Book Antiqua"/>
          <w:color w:val="000000" w:themeColor="text1"/>
          <w:sz w:val="24"/>
          <w:szCs w:val="24"/>
          <w:lang w:val="id-ID"/>
        </w:rPr>
      </w:pPr>
      <w:r w:rsidRPr="001F7E5E">
        <w:rPr>
          <w:rFonts w:ascii="Book Antiqua" w:hAnsi="Book Antiqua"/>
          <w:color w:val="000000" w:themeColor="text1"/>
          <w:sz w:val="24"/>
          <w:szCs w:val="24"/>
          <w:lang w:val="id-ID"/>
        </w:rPr>
        <w:t xml:space="preserve">Temuan penelitian juga sejalan dengan konsep Digital Religion yang dikembangkan oleh </w:t>
      </w:r>
      <w:r w:rsidRPr="002446B8">
        <w:rPr>
          <w:rFonts w:ascii="Book Antiqua" w:hAnsi="Book Antiqua"/>
          <w:color w:val="000000" w:themeColor="text1"/>
          <w:sz w:val="24"/>
          <w:szCs w:val="24"/>
          <w:lang w:val="id-ID"/>
        </w:rPr>
        <w:t>Heidi Campbell.</w:t>
      </w:r>
      <w:r w:rsidRPr="001F7E5E">
        <w:rPr>
          <w:rFonts w:ascii="Book Antiqua" w:hAnsi="Book Antiqua"/>
          <w:color w:val="000000" w:themeColor="text1"/>
          <w:sz w:val="24"/>
          <w:szCs w:val="24"/>
          <w:lang w:val="id-ID"/>
        </w:rPr>
        <w:t xml:space="preserve"> Campbell</w:t>
      </w:r>
      <w:r>
        <w:rPr>
          <w:rFonts w:ascii="Book Antiqua" w:hAnsi="Book Antiqua"/>
          <w:color w:val="000000" w:themeColor="text1"/>
          <w:sz w:val="24"/>
          <w:szCs w:val="24"/>
          <w:lang w:val="id-ID"/>
        </w:rPr>
        <w:t xml:space="preserve"> </w:t>
      </w:r>
      <w:r>
        <w:rPr>
          <w:rFonts w:ascii="Book Antiqua" w:hAnsi="Book Antiqua"/>
          <w:color w:val="000000" w:themeColor="text1"/>
          <w:sz w:val="24"/>
          <w:szCs w:val="24"/>
          <w:lang w:val="id-ID"/>
        </w:rPr>
        <w:fldChar w:fldCharType="begin" w:fldLock="1"/>
      </w:r>
      <w:r>
        <w:rPr>
          <w:rFonts w:ascii="Book Antiqua" w:hAnsi="Book Antiqua"/>
          <w:color w:val="000000" w:themeColor="text1"/>
          <w:sz w:val="24"/>
          <w:szCs w:val="24"/>
          <w:lang w:val="id-ID"/>
        </w:rPr>
        <w:instrText>ADDIN CSL_CITATION {"citationItems":[{"id":"ITEM-1","itemData":{"author":[{"dropping-particle":"","family":"Campbell","given":"Heidi A.","non-dropping-particle":"","parse-names":false,"suffix":""}],"container-title":"Journal of the American Academy of Religion","id":"ITEM-1","issued":{"date-parts":[["2013"]]},"page":"64-93","title":"Understanding the Relationship between Religion Online and Offline in a Networked Society","type":"article-journal","volume":"81"},"uris":["http://www.mendeley.com/documents/?uuid=4683802b-ef58-43a8-a1fb-eaf42189b5fa"]}],"mendeley":{"formattedCitation":"(Campbell, 2013)","plainTextFormattedCitation":"(Campbell, 2013)","previouslyFormattedCitation":"(Campbell, 2013)"},"properties":{"noteIndex":0},"schema":"https://github.com/citation-style-language/schema/raw/master/csl-citation.json"}</w:instrText>
      </w:r>
      <w:r>
        <w:rPr>
          <w:rFonts w:ascii="Book Antiqua" w:hAnsi="Book Antiqua"/>
          <w:color w:val="000000" w:themeColor="text1"/>
          <w:sz w:val="24"/>
          <w:szCs w:val="24"/>
          <w:lang w:val="id-ID"/>
        </w:rPr>
        <w:fldChar w:fldCharType="separate"/>
      </w:r>
      <w:r w:rsidRPr="002446B8">
        <w:rPr>
          <w:rFonts w:ascii="Book Antiqua" w:hAnsi="Book Antiqua"/>
          <w:noProof/>
          <w:color w:val="000000" w:themeColor="text1"/>
          <w:sz w:val="24"/>
          <w:szCs w:val="24"/>
          <w:lang w:val="id-ID"/>
        </w:rPr>
        <w:t>(Campbell, 2013)</w:t>
      </w:r>
      <w:r>
        <w:rPr>
          <w:rFonts w:ascii="Book Antiqua" w:hAnsi="Book Antiqua"/>
          <w:color w:val="000000" w:themeColor="text1"/>
          <w:sz w:val="24"/>
          <w:szCs w:val="24"/>
          <w:lang w:val="id-ID"/>
        </w:rPr>
        <w:fldChar w:fldCharType="end"/>
      </w:r>
      <w:r w:rsidRPr="001F7E5E">
        <w:rPr>
          <w:rFonts w:ascii="Book Antiqua" w:hAnsi="Book Antiqua"/>
          <w:color w:val="000000" w:themeColor="text1"/>
          <w:sz w:val="24"/>
          <w:szCs w:val="24"/>
          <w:lang w:val="id-ID"/>
        </w:rPr>
        <w:t xml:space="preserve"> menjelaskan bahwa praktik keberagamaan saat ini tidak hanya berlangsung di ruang fisik, tetapi juga di ruang digital yang memiliki karakteristik komunikasi yang berbeda. Dalam konteks tersebut, pendidikan Islam dituntut mampu membekali peserta didik dengan literasi digital yang memadai agar tidak mudah terpengaruh oleh narasi keagamaan yang bersifat ekstrem. Selain itu, teori </w:t>
      </w:r>
      <w:r w:rsidRPr="002446B8">
        <w:rPr>
          <w:rFonts w:ascii="Book Antiqua" w:hAnsi="Book Antiqua"/>
          <w:color w:val="000000" w:themeColor="text1"/>
          <w:sz w:val="24"/>
          <w:szCs w:val="24"/>
          <w:lang w:val="id-ID"/>
        </w:rPr>
        <w:t xml:space="preserve">Peter Berger </w:t>
      </w:r>
      <w:r w:rsidRPr="002446B8">
        <w:rPr>
          <w:rFonts w:ascii="Book Antiqua" w:hAnsi="Book Antiqua"/>
          <w:color w:val="000000" w:themeColor="text1"/>
          <w:sz w:val="24"/>
          <w:szCs w:val="24"/>
          <w:lang w:val="id-ID"/>
        </w:rPr>
        <w:fldChar w:fldCharType="begin" w:fldLock="1"/>
      </w:r>
      <w:r>
        <w:rPr>
          <w:rFonts w:ascii="Book Antiqua" w:hAnsi="Book Antiqua"/>
          <w:color w:val="000000" w:themeColor="text1"/>
          <w:sz w:val="24"/>
          <w:szCs w:val="24"/>
          <w:lang w:val="id-ID"/>
        </w:rPr>
        <w:instrText>ADDIN CSL_CITATION {"citationItems":[{"id":"ITEM-1","itemData":{"author":[{"dropping-particle":"","family":"Berger","given":"P. L. (Ed.).","non-dropping-particle":"","parse-names":false,"suffix":""}],"id":"ITEM-1","issued":{"date-parts":[["1999"]]},"publisher":"Eerdmans Publishing Company","publisher-place":"Grand Rapids, MI","title":"The Desecularization of the World: Resurgent Religion and World Politics.","type":"book"},"uris":["http://www.mendeley.com/documents/?uuid=3743d65e-49e9-49b9-b72f-cbca7951c898"]}],"mendeley":{"formattedCitation":"(Berger, 1999)","plainTextFormattedCitation":"(Berger, 1999)","previouslyFormattedCitation":"(Berger, 1999)"},"properties":{"noteIndex":0},"schema":"https://github.com/citation-style-language/schema/raw/master/csl-citation.json"}</w:instrText>
      </w:r>
      <w:r w:rsidRPr="002446B8">
        <w:rPr>
          <w:rFonts w:ascii="Book Antiqua" w:hAnsi="Book Antiqua"/>
          <w:color w:val="000000" w:themeColor="text1"/>
          <w:sz w:val="24"/>
          <w:szCs w:val="24"/>
          <w:lang w:val="id-ID"/>
        </w:rPr>
        <w:fldChar w:fldCharType="separate"/>
      </w:r>
      <w:r w:rsidRPr="002446B8">
        <w:rPr>
          <w:rFonts w:ascii="Book Antiqua" w:hAnsi="Book Antiqua"/>
          <w:noProof/>
          <w:color w:val="000000" w:themeColor="text1"/>
          <w:sz w:val="24"/>
          <w:szCs w:val="24"/>
          <w:lang w:val="id-ID"/>
        </w:rPr>
        <w:t>(Berger, 1999)</w:t>
      </w:r>
      <w:r w:rsidRPr="002446B8">
        <w:rPr>
          <w:rFonts w:ascii="Book Antiqua" w:hAnsi="Book Antiqua"/>
          <w:color w:val="000000" w:themeColor="text1"/>
          <w:sz w:val="24"/>
          <w:szCs w:val="24"/>
          <w:lang w:val="id-ID"/>
        </w:rPr>
        <w:fldChar w:fldCharType="end"/>
      </w:r>
      <w:r w:rsidRPr="001F7E5E">
        <w:rPr>
          <w:rFonts w:ascii="Book Antiqua" w:hAnsi="Book Antiqua"/>
          <w:color w:val="000000" w:themeColor="text1"/>
          <w:sz w:val="24"/>
          <w:szCs w:val="24"/>
          <w:lang w:val="id-ID"/>
        </w:rPr>
        <w:t xml:space="preserve"> mengenai pluralisasi agama menunjukkan bahwa modernitas tidak menghilangkan agama dari kehidupan manusia, melainkan menghadirkan berbagai pilihan dan interpretasi keagamaan yang lebih beragam. Hasil penelitian menunjukkan bahwa kondisi tersebut membutuhkan pendidikan yang mampu mengelola perbedaan secara konstruktif melalui penguatan nilai moderasi dan toleransi. Oleh karena itu, tafsir tarbawi terhadap QS. An-Nisa' [4]:171 memiliki relevansi yang sangat kuat dalam menghadapi tantangan keberagamaan pada era digital karena mampu memberikan landasan normatif bagi pengembangan pendidikan anti-ekstremisme yang adaptif terhadap perubahan zaman.</w:t>
      </w:r>
    </w:p>
    <w:p w14:paraId="3CA214F5" w14:textId="77777777" w:rsidR="00F943A6" w:rsidRPr="00F943A6" w:rsidRDefault="00F943A6" w:rsidP="00F943A6">
      <w:pPr>
        <w:widowControl/>
        <w:ind w:firstLine="709"/>
        <w:jc w:val="both"/>
        <w:rPr>
          <w:rFonts w:ascii="Book Antiqua" w:hAnsi="Book Antiqua"/>
          <w:color w:val="000000" w:themeColor="text1"/>
          <w:sz w:val="24"/>
          <w:szCs w:val="24"/>
          <w:lang w:val="id-ID"/>
        </w:rPr>
      </w:pPr>
    </w:p>
    <w:p w14:paraId="61AEF2A8" w14:textId="7CB78730" w:rsidR="006C2D77" w:rsidRPr="00404778" w:rsidRDefault="00281E15" w:rsidP="00404778">
      <w:pPr>
        <w:pStyle w:val="BodyText"/>
        <w:spacing w:line="254" w:lineRule="auto"/>
        <w:rPr>
          <w:rFonts w:ascii="Book Antiqua" w:hAnsi="Book Antiqua"/>
          <w:b/>
          <w:bCs/>
          <w:spacing w:val="-2"/>
        </w:rPr>
      </w:pPr>
      <w:r w:rsidRPr="00404778">
        <w:rPr>
          <w:rFonts w:ascii="Book Antiqua" w:hAnsi="Book Antiqua"/>
          <w:b/>
          <w:bCs/>
          <w:spacing w:val="-2"/>
        </w:rPr>
        <w:t>KESIMPULAN</w:t>
      </w:r>
      <w:r w:rsidR="00404778">
        <w:rPr>
          <w:rFonts w:ascii="Book Antiqua" w:hAnsi="Book Antiqua"/>
          <w:b/>
          <w:bCs/>
          <w:spacing w:val="-2"/>
        </w:rPr>
        <w:t xml:space="preserve"> </w:t>
      </w:r>
    </w:p>
    <w:p w14:paraId="50C28381" w14:textId="28C7E5C9" w:rsidR="0027251C" w:rsidRPr="001F7E5E" w:rsidRDefault="0027251C" w:rsidP="0027251C">
      <w:pPr>
        <w:widowControl/>
        <w:ind w:firstLine="709"/>
        <w:jc w:val="both"/>
        <w:rPr>
          <w:rFonts w:ascii="Book Antiqua" w:hAnsi="Book Antiqua"/>
          <w:color w:val="000000" w:themeColor="text1"/>
          <w:sz w:val="24"/>
          <w:szCs w:val="24"/>
          <w:lang w:val="id-ID"/>
        </w:rPr>
      </w:pPr>
      <w:r w:rsidRPr="001F7E5E">
        <w:rPr>
          <w:rFonts w:ascii="Book Antiqua" w:hAnsi="Book Antiqua"/>
          <w:color w:val="000000" w:themeColor="text1"/>
          <w:sz w:val="24"/>
          <w:szCs w:val="24"/>
          <w:lang w:val="id-ID"/>
        </w:rPr>
        <w:lastRenderedPageBreak/>
        <w:t>Hasil penelitian menunjukkan bahwa QS. An-Nisa' [4]:171 mengandung konsep anti-ekstremisme yang sangat penting dalam membangun pola keberagamaan yang moderat dan seimbang. Larangan ghuluw dalam ayat tersebut tidak hanya berfungsi sebagai peringatan teologis, tetapi juga mengandung nilai-nilai pendidikan yang relevan dengan upaya pencegahan ekstremisme dalam kehidupan modern. Temuan penelitian menunjukkan bahwa konsep anti-ekstremisme dalam ayat ini diwujudkan melalui tiga aspek utama, yaitu larangan terhadap sikap berlebihan dalam beragama, penguatan nilai wasathiyyah sebagai karakter utama umat Islam, dan pembentukan sikap kritis terhadap fanatisme keagamaan. Dalam perspektif tafsir tarbawi, nilai-nilai tersebut berfungsi membentuk individu yang mampu memahami agama secara proporsional, menghargai keberagaman, serta mengembangkan hubungan sosial yang harmonis. Novelty penelitian ini terletak pada integrasi konsep larangan ghuluw dalam QS. An-Nisa' [4]:171 dengan perspektif tafsir tarbawi serta pengaitannya dengan teori moderasi beragama, pendidikan multikultural, pendidikan perdamaian, dan tantangan keberagamaan di era digital.</w:t>
      </w:r>
    </w:p>
    <w:p w14:paraId="513BC0E8" w14:textId="77777777" w:rsidR="0027251C" w:rsidRDefault="0027251C" w:rsidP="0027251C">
      <w:pPr>
        <w:widowControl/>
        <w:ind w:firstLine="709"/>
        <w:jc w:val="both"/>
        <w:rPr>
          <w:rFonts w:ascii="Book Antiqua" w:hAnsi="Book Antiqua"/>
          <w:color w:val="000000" w:themeColor="text1"/>
          <w:sz w:val="24"/>
          <w:szCs w:val="24"/>
          <w:lang w:val="id-ID"/>
        </w:rPr>
      </w:pPr>
      <w:r w:rsidRPr="001F7E5E">
        <w:rPr>
          <w:rFonts w:ascii="Book Antiqua" w:hAnsi="Book Antiqua"/>
          <w:color w:val="000000" w:themeColor="text1"/>
          <w:sz w:val="24"/>
          <w:szCs w:val="24"/>
          <w:lang w:val="id-ID"/>
        </w:rPr>
        <w:t>Meskipun demikian, penelitian ini masih memiliki beberapa keterbatasan. Penelitian dilakukan menggunakan metode library research sehingga seluruh data diperoleh melalui kajian literatur tanpa melibatkan data lapangan secara langsung. Akibatnya, penelitian ini belum mampu menggambarkan secara empiris bagaimana implementasi nilai-nilai anti-ekstremisme dalam lembaga pendidikan Islam maupun dalam kehidupan masyarakat. Selain itu, kajian ini lebih berfokus pada analisis normatif terhadap QS. An-Nisa' [4]:171 dan berbagai literatur pendukung sehingga belum mengeksplorasi efektivitas penerapan konsep tersebut dalam menghadapi berbagai bentuk ekstremisme kontemporer yang berkembang di media digital. Oleh karena itu, penelitian selanjutnya disarankan menggunakan pendekatan kualitatif lapangan, studi kasus, atau metode campuran (mixed methods) untuk mengkaji implementasi pendidikan anti-ekstremisme secara lebih komprehensif. Penelitian berikutnya juga dapat mengembangkan kajian mengenai strategi integrasi nilai-nilai moderasi beragama ke dalam kurikulum pendidikan Islam sehingga diperoleh model pembelajaran yang lebih efektif dalam membentuk generasi yang toleran, moderat, dan berkeadaban di tengah masyarakat global yang semakin plural dan kompleks.</w:t>
      </w:r>
    </w:p>
    <w:p w14:paraId="4D503D98" w14:textId="37849560" w:rsidR="0027251C" w:rsidRDefault="0027251C" w:rsidP="0027251C">
      <w:pPr>
        <w:widowControl/>
        <w:ind w:firstLine="709"/>
        <w:jc w:val="both"/>
        <w:rPr>
          <w:rFonts w:ascii="Book Antiqua" w:hAnsi="Book Antiqua"/>
          <w:color w:val="000000" w:themeColor="text1"/>
          <w:sz w:val="24"/>
          <w:szCs w:val="24"/>
          <w:lang w:val="id-ID"/>
        </w:rPr>
      </w:pPr>
      <w:r>
        <w:rPr>
          <w:rFonts w:ascii="Book Antiqua" w:hAnsi="Book Antiqua"/>
          <w:color w:val="000000" w:themeColor="text1"/>
          <w:sz w:val="24"/>
          <w:szCs w:val="24"/>
          <w:lang w:val="id-ID"/>
        </w:rPr>
        <w:br w:type="page"/>
      </w:r>
    </w:p>
    <w:p w14:paraId="74636880" w14:textId="77777777" w:rsidR="0027251C" w:rsidRDefault="0027251C" w:rsidP="0027251C">
      <w:pPr>
        <w:widowControl/>
        <w:ind w:firstLine="709"/>
        <w:jc w:val="both"/>
        <w:rPr>
          <w:rFonts w:ascii="Book Antiqua" w:hAnsi="Book Antiqua"/>
          <w:color w:val="000000" w:themeColor="text1"/>
          <w:sz w:val="24"/>
          <w:szCs w:val="24"/>
          <w:lang w:val="id-ID"/>
        </w:rPr>
      </w:pPr>
    </w:p>
    <w:p w14:paraId="108E484E" w14:textId="07542191" w:rsidR="006C2D77" w:rsidRPr="00A025E5" w:rsidRDefault="00281E15" w:rsidP="00404778">
      <w:pPr>
        <w:pStyle w:val="BodyText"/>
        <w:spacing w:line="254" w:lineRule="auto"/>
        <w:rPr>
          <w:rFonts w:ascii="Book Antiqua" w:hAnsi="Book Antiqua"/>
        </w:rPr>
      </w:pPr>
      <w:r w:rsidRPr="00404778">
        <w:rPr>
          <w:rFonts w:ascii="Book Antiqua" w:hAnsi="Book Antiqua"/>
          <w:b/>
          <w:bCs/>
          <w:spacing w:val="-2"/>
        </w:rPr>
        <w:t>REFERENSI</w:t>
      </w:r>
    </w:p>
    <w:p w14:paraId="124D9537" w14:textId="03E28E5B" w:rsidR="00445C04" w:rsidRPr="00445C04" w:rsidRDefault="00445C04" w:rsidP="00CC5F25">
      <w:pPr>
        <w:adjustRightInd w:val="0"/>
        <w:ind w:left="480" w:hanging="480"/>
        <w:jc w:val="both"/>
        <w:rPr>
          <w:rFonts w:ascii="Book Antiqua" w:hAnsi="Book Antiqua" w:cs="Times New Roman"/>
          <w:noProof/>
          <w:sz w:val="24"/>
        </w:rPr>
      </w:pPr>
      <w:r w:rsidRPr="00445C04">
        <w:rPr>
          <w:rFonts w:ascii="Book Antiqua" w:hAnsi="Book Antiqua" w:cs="Tahoma"/>
          <w:color w:val="000000" w:themeColor="text1"/>
          <w:sz w:val="24"/>
          <w:szCs w:val="24"/>
          <w:shd w:val="clear" w:color="auto" w:fill="FFFFFF"/>
        </w:rPr>
        <w:fldChar w:fldCharType="begin" w:fldLock="1"/>
      </w:r>
      <w:r w:rsidRPr="00445C04">
        <w:rPr>
          <w:rFonts w:ascii="Book Antiqua" w:hAnsi="Book Antiqua" w:cs="Tahoma"/>
          <w:color w:val="000000" w:themeColor="text1"/>
          <w:sz w:val="24"/>
          <w:szCs w:val="24"/>
          <w:shd w:val="clear" w:color="auto" w:fill="FFFFFF"/>
        </w:rPr>
        <w:instrText xml:space="preserve">ADDIN Mendeley Bibliography CSL_BIBLIOGRAPHY </w:instrText>
      </w:r>
      <w:r w:rsidRPr="00445C04">
        <w:rPr>
          <w:rFonts w:ascii="Book Antiqua" w:hAnsi="Book Antiqua" w:cs="Tahoma"/>
          <w:color w:val="000000" w:themeColor="text1"/>
          <w:sz w:val="24"/>
          <w:szCs w:val="24"/>
          <w:shd w:val="clear" w:color="auto" w:fill="FFFFFF"/>
        </w:rPr>
        <w:fldChar w:fldCharType="separate"/>
      </w:r>
      <w:r w:rsidRPr="00445C04">
        <w:rPr>
          <w:rFonts w:ascii="Book Antiqua" w:hAnsi="Book Antiqua" w:cs="Times New Roman"/>
          <w:noProof/>
          <w:sz w:val="24"/>
        </w:rPr>
        <w:t xml:space="preserve">Abdullah, M. A. (2015). Religious Moderation in the Digital Era: Challenges and Opportunities. </w:t>
      </w:r>
      <w:r w:rsidRPr="00445C04">
        <w:rPr>
          <w:rFonts w:ascii="Book Antiqua" w:hAnsi="Book Antiqua" w:cs="Times New Roman"/>
          <w:i/>
          <w:iCs/>
          <w:noProof/>
          <w:sz w:val="24"/>
        </w:rPr>
        <w:t>Jurnal Pendidikan Islam</w:t>
      </w:r>
      <w:r w:rsidRPr="00445C04">
        <w:rPr>
          <w:rFonts w:ascii="Book Antiqua" w:hAnsi="Book Antiqua" w:cs="Times New Roman"/>
          <w:noProof/>
          <w:sz w:val="24"/>
        </w:rPr>
        <w:t xml:space="preserve">, </w:t>
      </w:r>
      <w:r w:rsidRPr="00445C04">
        <w:rPr>
          <w:rFonts w:ascii="Book Antiqua" w:hAnsi="Book Antiqua" w:cs="Times New Roman"/>
          <w:i/>
          <w:iCs/>
          <w:noProof/>
          <w:sz w:val="24"/>
        </w:rPr>
        <w:t>4(2)</w:t>
      </w:r>
      <w:r w:rsidRPr="00445C04">
        <w:rPr>
          <w:rFonts w:ascii="Book Antiqua" w:hAnsi="Book Antiqua" w:cs="Times New Roman"/>
          <w:noProof/>
          <w:sz w:val="24"/>
        </w:rPr>
        <w:t>, 45-62.</w:t>
      </w:r>
    </w:p>
    <w:p w14:paraId="45621335" w14:textId="77777777" w:rsidR="00445C04" w:rsidRPr="00445C04" w:rsidRDefault="00445C04" w:rsidP="00CC5F25">
      <w:pPr>
        <w:adjustRightInd w:val="0"/>
        <w:ind w:left="480" w:hanging="480"/>
        <w:jc w:val="both"/>
        <w:rPr>
          <w:rFonts w:ascii="Book Antiqua" w:hAnsi="Book Antiqua" w:cs="Times New Roman"/>
          <w:noProof/>
          <w:sz w:val="24"/>
        </w:rPr>
      </w:pPr>
      <w:r w:rsidRPr="00445C04">
        <w:rPr>
          <w:rFonts w:ascii="Book Antiqua" w:hAnsi="Book Antiqua" w:cs="Times New Roman"/>
          <w:noProof/>
          <w:sz w:val="24"/>
        </w:rPr>
        <w:t xml:space="preserve">Abdullah, M. A. (2020). Reinterpretasi Nilai-Nilai Tafsir Tarbawi untuk Pendidikan Multikultural. </w:t>
      </w:r>
      <w:r w:rsidRPr="00445C04">
        <w:rPr>
          <w:rFonts w:ascii="Book Antiqua" w:hAnsi="Book Antiqua" w:cs="Times New Roman"/>
          <w:i/>
          <w:iCs/>
          <w:noProof/>
          <w:sz w:val="24"/>
        </w:rPr>
        <w:t>Prosiding Konferensi Internasional Pendidikan Agama Islam</w:t>
      </w:r>
      <w:r w:rsidRPr="00445C04">
        <w:rPr>
          <w:rFonts w:ascii="Book Antiqua" w:hAnsi="Book Antiqua" w:cs="Times New Roman"/>
          <w:noProof/>
          <w:sz w:val="24"/>
        </w:rPr>
        <w:t>, 56-74.</w:t>
      </w:r>
    </w:p>
    <w:p w14:paraId="5E87A2E2" w14:textId="77777777" w:rsidR="00445C04" w:rsidRPr="00445C04" w:rsidRDefault="00445C04" w:rsidP="00CC5F25">
      <w:pPr>
        <w:adjustRightInd w:val="0"/>
        <w:ind w:left="480" w:hanging="480"/>
        <w:jc w:val="both"/>
        <w:rPr>
          <w:rFonts w:ascii="Book Antiqua" w:hAnsi="Book Antiqua" w:cs="Times New Roman"/>
          <w:noProof/>
          <w:sz w:val="24"/>
        </w:rPr>
      </w:pPr>
      <w:r w:rsidRPr="00445C04">
        <w:rPr>
          <w:rFonts w:ascii="Book Antiqua" w:hAnsi="Book Antiqua" w:cs="Times New Roman"/>
          <w:noProof/>
          <w:sz w:val="24"/>
        </w:rPr>
        <w:t xml:space="preserve">Ahmad, Z. (2020). Konsep Ghuluw dalam Perspektif Tafsir Al-Misbah dan Relevansinya terhadap Radikalisme. </w:t>
      </w:r>
      <w:r w:rsidRPr="00445C04">
        <w:rPr>
          <w:rFonts w:ascii="Book Antiqua" w:hAnsi="Book Antiqua" w:cs="Times New Roman"/>
          <w:i/>
          <w:iCs/>
          <w:noProof/>
          <w:sz w:val="24"/>
        </w:rPr>
        <w:t>Jurnal Ilmu Al-Qur’an Dan Tafsir</w:t>
      </w:r>
      <w:r w:rsidRPr="00445C04">
        <w:rPr>
          <w:rFonts w:ascii="Book Antiqua" w:hAnsi="Book Antiqua" w:cs="Times New Roman"/>
          <w:noProof/>
          <w:sz w:val="24"/>
        </w:rPr>
        <w:t xml:space="preserve">, </w:t>
      </w:r>
      <w:r w:rsidRPr="00445C04">
        <w:rPr>
          <w:rFonts w:ascii="Book Antiqua" w:hAnsi="Book Antiqua" w:cs="Times New Roman"/>
          <w:i/>
          <w:iCs/>
          <w:noProof/>
          <w:sz w:val="24"/>
        </w:rPr>
        <w:t>6(1),</w:t>
      </w:r>
      <w:r w:rsidRPr="00445C04">
        <w:rPr>
          <w:rFonts w:ascii="Book Antiqua" w:hAnsi="Book Antiqua" w:cs="Times New Roman"/>
          <w:noProof/>
          <w:sz w:val="24"/>
        </w:rPr>
        <w:t xml:space="preserve"> 78-95.</w:t>
      </w:r>
    </w:p>
    <w:p w14:paraId="14808EA6" w14:textId="77777777" w:rsidR="00445C04" w:rsidRPr="00445C04" w:rsidRDefault="00445C04" w:rsidP="00CC5F25">
      <w:pPr>
        <w:adjustRightInd w:val="0"/>
        <w:ind w:left="480" w:hanging="480"/>
        <w:jc w:val="both"/>
        <w:rPr>
          <w:rFonts w:ascii="Book Antiqua" w:hAnsi="Book Antiqua" w:cs="Times New Roman"/>
          <w:noProof/>
          <w:sz w:val="24"/>
        </w:rPr>
      </w:pPr>
      <w:r w:rsidRPr="00445C04">
        <w:rPr>
          <w:rFonts w:ascii="Book Antiqua" w:hAnsi="Book Antiqua" w:cs="Times New Roman"/>
          <w:noProof/>
          <w:sz w:val="24"/>
        </w:rPr>
        <w:t xml:space="preserve">Al-Syaibani, O. M. A.-T. (1979). </w:t>
      </w:r>
      <w:r w:rsidRPr="00445C04">
        <w:rPr>
          <w:rFonts w:ascii="Book Antiqua" w:hAnsi="Book Antiqua" w:cs="Times New Roman"/>
          <w:i/>
          <w:iCs/>
          <w:noProof/>
          <w:sz w:val="24"/>
        </w:rPr>
        <w:t>Falsafah Pendidikan Islam.</w:t>
      </w:r>
      <w:r w:rsidRPr="00445C04">
        <w:rPr>
          <w:rFonts w:ascii="Book Antiqua" w:hAnsi="Book Antiqua" w:cs="Times New Roman"/>
          <w:noProof/>
          <w:sz w:val="24"/>
        </w:rPr>
        <w:t xml:space="preserve"> Bulan Bintang.</w:t>
      </w:r>
    </w:p>
    <w:p w14:paraId="22ED21EA" w14:textId="77777777" w:rsidR="00445C04" w:rsidRPr="00445C04" w:rsidRDefault="00445C04" w:rsidP="00CC5F25">
      <w:pPr>
        <w:adjustRightInd w:val="0"/>
        <w:ind w:left="480" w:hanging="480"/>
        <w:jc w:val="both"/>
        <w:rPr>
          <w:rFonts w:ascii="Book Antiqua" w:hAnsi="Book Antiqua" w:cs="Times New Roman"/>
          <w:noProof/>
          <w:sz w:val="24"/>
        </w:rPr>
      </w:pPr>
      <w:r w:rsidRPr="00445C04">
        <w:rPr>
          <w:rFonts w:ascii="Book Antiqua" w:hAnsi="Book Antiqua" w:cs="Times New Roman"/>
          <w:noProof/>
          <w:sz w:val="24"/>
        </w:rPr>
        <w:t xml:space="preserve">Anam, N., &amp; Syaekhotin, S. (2023). </w:t>
      </w:r>
      <w:r w:rsidRPr="00445C04">
        <w:rPr>
          <w:rFonts w:ascii="Book Antiqua" w:hAnsi="Book Antiqua" w:cs="Times New Roman"/>
          <w:i/>
          <w:iCs/>
          <w:noProof/>
          <w:sz w:val="24"/>
        </w:rPr>
        <w:t>Deradikalisasi agama</w:t>
      </w:r>
      <w:r w:rsidRPr="00445C04">
        <w:rPr>
          <w:rFonts w:ascii="Times New Roman" w:hAnsi="Times New Roman" w:cs="Times New Roman"/>
          <w:i/>
          <w:iCs/>
          <w:noProof/>
          <w:sz w:val="24"/>
        </w:rPr>
        <w:t> </w:t>
      </w:r>
      <w:r w:rsidRPr="00445C04">
        <w:rPr>
          <w:rFonts w:ascii="Book Antiqua" w:hAnsi="Book Antiqua" w:cs="Times New Roman"/>
          <w:i/>
          <w:iCs/>
          <w:noProof/>
          <w:sz w:val="24"/>
        </w:rPr>
        <w:t>: Pengembangan Multimedia Berbasis IT dalam Pembelajaran Moderasi Agama di Lembaga Pendidikan</w:t>
      </w:r>
      <w:r w:rsidRPr="00445C04">
        <w:rPr>
          <w:rFonts w:ascii="Book Antiqua" w:hAnsi="Book Antiqua" w:cs="Times New Roman"/>
          <w:noProof/>
          <w:sz w:val="24"/>
        </w:rPr>
        <w:t>. CV. Bildung Nusantara.</w:t>
      </w:r>
    </w:p>
    <w:p w14:paraId="7E3ADCE7" w14:textId="77777777" w:rsidR="00445C04" w:rsidRPr="00445C04" w:rsidRDefault="00445C04" w:rsidP="00CC5F25">
      <w:pPr>
        <w:adjustRightInd w:val="0"/>
        <w:ind w:left="480" w:hanging="480"/>
        <w:jc w:val="both"/>
        <w:rPr>
          <w:rFonts w:ascii="Book Antiqua" w:hAnsi="Book Antiqua" w:cs="Times New Roman"/>
          <w:noProof/>
          <w:sz w:val="24"/>
        </w:rPr>
      </w:pPr>
      <w:r w:rsidRPr="00445C04">
        <w:rPr>
          <w:rFonts w:ascii="Book Antiqua" w:hAnsi="Book Antiqua" w:cs="Times New Roman"/>
          <w:noProof/>
          <w:sz w:val="24"/>
        </w:rPr>
        <w:t xml:space="preserve">Arikunto, S. (2019). </w:t>
      </w:r>
      <w:r w:rsidRPr="00445C04">
        <w:rPr>
          <w:rFonts w:ascii="Book Antiqua" w:hAnsi="Book Antiqua" w:cs="Times New Roman"/>
          <w:i/>
          <w:iCs/>
          <w:noProof/>
          <w:sz w:val="24"/>
        </w:rPr>
        <w:t>Prosedur Penelitian: Suatu Pendekatan Praktik.</w:t>
      </w:r>
      <w:r w:rsidRPr="00445C04">
        <w:rPr>
          <w:rFonts w:ascii="Book Antiqua" w:hAnsi="Book Antiqua" w:cs="Times New Roman"/>
          <w:noProof/>
          <w:sz w:val="24"/>
        </w:rPr>
        <w:t xml:space="preserve"> Rineka Cipta.</w:t>
      </w:r>
    </w:p>
    <w:p w14:paraId="33399463" w14:textId="77777777" w:rsidR="00445C04" w:rsidRPr="00445C04" w:rsidRDefault="00445C04" w:rsidP="00CC5F25">
      <w:pPr>
        <w:adjustRightInd w:val="0"/>
        <w:ind w:left="480" w:hanging="480"/>
        <w:jc w:val="both"/>
        <w:rPr>
          <w:rFonts w:ascii="Book Antiqua" w:hAnsi="Book Antiqua" w:cs="Times New Roman"/>
          <w:noProof/>
          <w:sz w:val="24"/>
        </w:rPr>
      </w:pPr>
      <w:r w:rsidRPr="00445C04">
        <w:rPr>
          <w:rFonts w:ascii="Book Antiqua" w:hAnsi="Book Antiqua" w:cs="Times New Roman"/>
          <w:noProof/>
          <w:sz w:val="24"/>
        </w:rPr>
        <w:t xml:space="preserve">Azra, A., &amp; Hidayat, K. (2020). Moderasi Beragama di Era Digital: Tantangan dan Strategi. </w:t>
      </w:r>
      <w:r w:rsidRPr="00445C04">
        <w:rPr>
          <w:rFonts w:ascii="Book Antiqua" w:hAnsi="Book Antiqua" w:cs="Times New Roman"/>
          <w:i/>
          <w:iCs/>
          <w:noProof/>
          <w:sz w:val="24"/>
        </w:rPr>
        <w:t>Prosiding Seminar Nasional Moderasi Beragama, Universitas Islam Negeri Syarif Hidayatullah</w:t>
      </w:r>
      <w:r w:rsidRPr="00445C04">
        <w:rPr>
          <w:rFonts w:ascii="Book Antiqua" w:hAnsi="Book Antiqua" w:cs="Times New Roman"/>
          <w:noProof/>
          <w:sz w:val="24"/>
        </w:rPr>
        <w:t>, 15–30.</w:t>
      </w:r>
    </w:p>
    <w:p w14:paraId="42FE6737" w14:textId="77777777" w:rsidR="00445C04" w:rsidRPr="00445C04" w:rsidRDefault="00445C04" w:rsidP="00CC5F25">
      <w:pPr>
        <w:adjustRightInd w:val="0"/>
        <w:ind w:left="480" w:hanging="480"/>
        <w:jc w:val="both"/>
        <w:rPr>
          <w:rFonts w:ascii="Book Antiqua" w:hAnsi="Book Antiqua" w:cs="Times New Roman"/>
          <w:noProof/>
          <w:sz w:val="24"/>
        </w:rPr>
      </w:pPr>
      <w:r w:rsidRPr="00445C04">
        <w:rPr>
          <w:rFonts w:ascii="Book Antiqua" w:hAnsi="Book Antiqua" w:cs="Times New Roman"/>
          <w:noProof/>
          <w:sz w:val="24"/>
        </w:rPr>
        <w:t xml:space="preserve">Azra, A. (2019). </w:t>
      </w:r>
      <w:r w:rsidRPr="00445C04">
        <w:rPr>
          <w:rFonts w:ascii="Book Antiqua" w:hAnsi="Book Antiqua" w:cs="Times New Roman"/>
          <w:i/>
          <w:iCs/>
          <w:noProof/>
          <w:sz w:val="24"/>
        </w:rPr>
        <w:t>Moderasi Islam di Indonesia dari Ajaran, Ibadah, hingga Perilaku.</w:t>
      </w:r>
      <w:r w:rsidRPr="00445C04">
        <w:rPr>
          <w:rFonts w:ascii="Book Antiqua" w:hAnsi="Book Antiqua" w:cs="Times New Roman"/>
          <w:noProof/>
          <w:sz w:val="24"/>
        </w:rPr>
        <w:t xml:space="preserve"> Kencana.</w:t>
      </w:r>
    </w:p>
    <w:p w14:paraId="34CA8D3C" w14:textId="77777777" w:rsidR="00445C04" w:rsidRPr="00445C04" w:rsidRDefault="00445C04" w:rsidP="00CC5F25">
      <w:pPr>
        <w:adjustRightInd w:val="0"/>
        <w:ind w:left="480" w:hanging="480"/>
        <w:jc w:val="both"/>
        <w:rPr>
          <w:rFonts w:ascii="Book Antiqua" w:hAnsi="Book Antiqua" w:cs="Times New Roman"/>
          <w:noProof/>
          <w:sz w:val="24"/>
        </w:rPr>
      </w:pPr>
      <w:r w:rsidRPr="00445C04">
        <w:rPr>
          <w:rFonts w:ascii="Book Antiqua" w:hAnsi="Book Antiqua" w:cs="Times New Roman"/>
          <w:noProof/>
          <w:sz w:val="24"/>
        </w:rPr>
        <w:t xml:space="preserve">Berger, P. L. (Ed. ). (1999). </w:t>
      </w:r>
      <w:r w:rsidRPr="00445C04">
        <w:rPr>
          <w:rFonts w:ascii="Book Antiqua" w:hAnsi="Book Antiqua" w:cs="Times New Roman"/>
          <w:i/>
          <w:iCs/>
          <w:noProof/>
          <w:sz w:val="24"/>
        </w:rPr>
        <w:t>The Desecularization of the World: Resurgent Religion and World Politics.</w:t>
      </w:r>
      <w:r w:rsidRPr="00445C04">
        <w:rPr>
          <w:rFonts w:ascii="Book Antiqua" w:hAnsi="Book Antiqua" w:cs="Times New Roman"/>
          <w:noProof/>
          <w:sz w:val="24"/>
        </w:rPr>
        <w:t xml:space="preserve"> Eerdmans Publishing Company.</w:t>
      </w:r>
    </w:p>
    <w:p w14:paraId="599911FC" w14:textId="77777777" w:rsidR="00445C04" w:rsidRPr="00445C04" w:rsidRDefault="00445C04" w:rsidP="00CC5F25">
      <w:pPr>
        <w:adjustRightInd w:val="0"/>
        <w:ind w:left="480" w:hanging="480"/>
        <w:jc w:val="both"/>
        <w:rPr>
          <w:rFonts w:ascii="Book Antiqua" w:hAnsi="Book Antiqua" w:cs="Times New Roman"/>
          <w:noProof/>
          <w:sz w:val="24"/>
        </w:rPr>
      </w:pPr>
      <w:r w:rsidRPr="00445C04">
        <w:rPr>
          <w:rFonts w:ascii="Book Antiqua" w:hAnsi="Book Antiqua" w:cs="Times New Roman"/>
          <w:noProof/>
          <w:sz w:val="24"/>
        </w:rPr>
        <w:t xml:space="preserve">Campbell, H. A. (2013). Understanding the Relationship between Religion Online and Offline in a Networked Society. </w:t>
      </w:r>
      <w:r w:rsidRPr="00445C04">
        <w:rPr>
          <w:rFonts w:ascii="Book Antiqua" w:hAnsi="Book Antiqua" w:cs="Times New Roman"/>
          <w:i/>
          <w:iCs/>
          <w:noProof/>
          <w:sz w:val="24"/>
        </w:rPr>
        <w:t>Journal of the American Academy of Religion</w:t>
      </w:r>
      <w:r w:rsidRPr="00445C04">
        <w:rPr>
          <w:rFonts w:ascii="Book Antiqua" w:hAnsi="Book Antiqua" w:cs="Times New Roman"/>
          <w:noProof/>
          <w:sz w:val="24"/>
        </w:rPr>
        <w:t xml:space="preserve">, </w:t>
      </w:r>
      <w:r w:rsidRPr="00445C04">
        <w:rPr>
          <w:rFonts w:ascii="Book Antiqua" w:hAnsi="Book Antiqua" w:cs="Times New Roman"/>
          <w:i/>
          <w:iCs/>
          <w:noProof/>
          <w:sz w:val="24"/>
        </w:rPr>
        <w:t>81</w:t>
      </w:r>
      <w:r w:rsidRPr="00445C04">
        <w:rPr>
          <w:rFonts w:ascii="Book Antiqua" w:hAnsi="Book Antiqua" w:cs="Times New Roman"/>
          <w:noProof/>
          <w:sz w:val="24"/>
        </w:rPr>
        <w:t>, 64–93.</w:t>
      </w:r>
    </w:p>
    <w:p w14:paraId="6053CC8F" w14:textId="77777777" w:rsidR="00445C04" w:rsidRPr="00445C04" w:rsidRDefault="00445C04" w:rsidP="00CC5F25">
      <w:pPr>
        <w:adjustRightInd w:val="0"/>
        <w:ind w:left="480" w:hanging="480"/>
        <w:jc w:val="both"/>
        <w:rPr>
          <w:rFonts w:ascii="Book Antiqua" w:hAnsi="Book Antiqua" w:cs="Times New Roman"/>
          <w:noProof/>
          <w:sz w:val="24"/>
        </w:rPr>
      </w:pPr>
      <w:r w:rsidRPr="00445C04">
        <w:rPr>
          <w:rFonts w:ascii="Book Antiqua" w:hAnsi="Book Antiqua" w:cs="Times New Roman"/>
          <w:noProof/>
          <w:sz w:val="24"/>
        </w:rPr>
        <w:t xml:space="preserve">Castells, M. (2010). </w:t>
      </w:r>
      <w:r w:rsidRPr="00445C04">
        <w:rPr>
          <w:rFonts w:ascii="Book Antiqua" w:hAnsi="Book Antiqua" w:cs="Times New Roman"/>
          <w:i/>
          <w:iCs/>
          <w:noProof/>
          <w:sz w:val="24"/>
        </w:rPr>
        <w:t>The Rise of the Network Society</w:t>
      </w:r>
      <w:r w:rsidRPr="00445C04">
        <w:rPr>
          <w:rFonts w:ascii="Book Antiqua" w:hAnsi="Book Antiqua" w:cs="Times New Roman"/>
          <w:noProof/>
          <w:sz w:val="24"/>
        </w:rPr>
        <w:t xml:space="preserve"> (Second Edi). Wiley-Blackwell.</w:t>
      </w:r>
    </w:p>
    <w:p w14:paraId="09DB65E4" w14:textId="77777777" w:rsidR="00445C04" w:rsidRPr="00445C04" w:rsidRDefault="00445C04" w:rsidP="00CC5F25">
      <w:pPr>
        <w:adjustRightInd w:val="0"/>
        <w:ind w:left="480" w:hanging="480"/>
        <w:jc w:val="both"/>
        <w:rPr>
          <w:rFonts w:ascii="Book Antiqua" w:hAnsi="Book Antiqua" w:cs="Times New Roman"/>
          <w:noProof/>
          <w:sz w:val="24"/>
        </w:rPr>
      </w:pPr>
      <w:r w:rsidRPr="00445C04">
        <w:rPr>
          <w:rFonts w:ascii="Book Antiqua" w:hAnsi="Book Antiqua" w:cs="Times New Roman"/>
          <w:noProof/>
          <w:sz w:val="24"/>
        </w:rPr>
        <w:t xml:space="preserve">FASADENA., Huda, N., Hasan, Z., &amp; Cholid, N. (2023). Konsep Moderasi Beragama Dalam Tafsir Tarbawi Qs. Al-Baqarah: 62. </w:t>
      </w:r>
      <w:r w:rsidRPr="00445C04">
        <w:rPr>
          <w:rFonts w:ascii="Book Antiqua" w:hAnsi="Book Antiqua" w:cs="Times New Roman"/>
          <w:i/>
          <w:iCs/>
          <w:noProof/>
          <w:sz w:val="24"/>
        </w:rPr>
        <w:t>AL-ADABIYAH Jurnal Pendidikan Agama Islam,</w:t>
      </w:r>
      <w:r w:rsidRPr="00445C04">
        <w:rPr>
          <w:rFonts w:ascii="Book Antiqua" w:hAnsi="Book Antiqua" w:cs="Times New Roman"/>
          <w:noProof/>
          <w:sz w:val="24"/>
        </w:rPr>
        <w:t xml:space="preserve"> </w:t>
      </w:r>
      <w:r w:rsidRPr="00445C04">
        <w:rPr>
          <w:rFonts w:ascii="Book Antiqua" w:hAnsi="Book Antiqua" w:cs="Times New Roman"/>
          <w:i/>
          <w:iCs/>
          <w:noProof/>
          <w:sz w:val="24"/>
        </w:rPr>
        <w:t>4</w:t>
      </w:r>
      <w:r w:rsidRPr="00445C04">
        <w:rPr>
          <w:rFonts w:ascii="Book Antiqua" w:hAnsi="Book Antiqua" w:cs="Times New Roman"/>
          <w:noProof/>
          <w:sz w:val="24"/>
        </w:rPr>
        <w:t>(1).</w:t>
      </w:r>
    </w:p>
    <w:p w14:paraId="40E08A6F" w14:textId="77777777" w:rsidR="00445C04" w:rsidRPr="00445C04" w:rsidRDefault="00445C04" w:rsidP="00CC5F25">
      <w:pPr>
        <w:adjustRightInd w:val="0"/>
        <w:ind w:left="480" w:hanging="480"/>
        <w:jc w:val="both"/>
        <w:rPr>
          <w:rFonts w:ascii="Book Antiqua" w:hAnsi="Book Antiqua" w:cs="Times New Roman"/>
          <w:noProof/>
          <w:sz w:val="24"/>
        </w:rPr>
      </w:pPr>
      <w:r w:rsidRPr="00445C04">
        <w:rPr>
          <w:rFonts w:ascii="Book Antiqua" w:hAnsi="Book Antiqua" w:cs="Times New Roman"/>
          <w:noProof/>
          <w:sz w:val="24"/>
        </w:rPr>
        <w:t xml:space="preserve">Kamali, M. H. (2019). Wasatiyyah as a Framework for Countering Extremism. </w:t>
      </w:r>
      <w:r w:rsidRPr="00445C04">
        <w:rPr>
          <w:rFonts w:ascii="Book Antiqua" w:hAnsi="Book Antiqua" w:cs="Times New Roman"/>
          <w:i/>
          <w:iCs/>
          <w:noProof/>
          <w:sz w:val="24"/>
        </w:rPr>
        <w:t>Proceedings of the International Conference on Islamic Moderation, Oxford University</w:t>
      </w:r>
      <w:r w:rsidRPr="00445C04">
        <w:rPr>
          <w:rFonts w:ascii="Book Antiqua" w:hAnsi="Book Antiqua" w:cs="Times New Roman"/>
          <w:noProof/>
          <w:sz w:val="24"/>
        </w:rPr>
        <w:t>, 45-62.</w:t>
      </w:r>
    </w:p>
    <w:p w14:paraId="012B9D6B" w14:textId="77777777" w:rsidR="00445C04" w:rsidRPr="00445C04" w:rsidRDefault="00445C04" w:rsidP="00CC5F25">
      <w:pPr>
        <w:adjustRightInd w:val="0"/>
        <w:ind w:left="480" w:hanging="480"/>
        <w:jc w:val="both"/>
        <w:rPr>
          <w:rFonts w:ascii="Book Antiqua" w:hAnsi="Book Antiqua" w:cs="Times New Roman"/>
          <w:noProof/>
          <w:sz w:val="24"/>
        </w:rPr>
      </w:pPr>
      <w:r w:rsidRPr="00445C04">
        <w:rPr>
          <w:rFonts w:ascii="Book Antiqua" w:hAnsi="Book Antiqua" w:cs="Times New Roman"/>
          <w:noProof/>
          <w:sz w:val="24"/>
        </w:rPr>
        <w:t xml:space="preserve">Miles, M. B., Huberman, A. M., &amp; Saldaña, J. (2014). </w:t>
      </w:r>
      <w:r w:rsidRPr="00445C04">
        <w:rPr>
          <w:rFonts w:ascii="Book Antiqua" w:hAnsi="Book Antiqua" w:cs="Times New Roman"/>
          <w:i/>
          <w:iCs/>
          <w:noProof/>
          <w:sz w:val="24"/>
        </w:rPr>
        <w:t>Qualitative Data Analysis: A Methods Sourcebook</w:t>
      </w:r>
      <w:r w:rsidRPr="00445C04">
        <w:rPr>
          <w:rFonts w:ascii="Book Antiqua" w:hAnsi="Book Antiqua" w:cs="Times New Roman"/>
          <w:noProof/>
          <w:sz w:val="24"/>
        </w:rPr>
        <w:t xml:space="preserve"> (3rd ed.). SAGE Publications.</w:t>
      </w:r>
    </w:p>
    <w:p w14:paraId="0142C43A" w14:textId="77777777" w:rsidR="00445C04" w:rsidRPr="00445C04" w:rsidRDefault="00445C04" w:rsidP="00CC5F25">
      <w:pPr>
        <w:adjustRightInd w:val="0"/>
        <w:ind w:left="480" w:hanging="480"/>
        <w:jc w:val="both"/>
        <w:rPr>
          <w:rFonts w:ascii="Book Antiqua" w:hAnsi="Book Antiqua" w:cs="Times New Roman"/>
          <w:noProof/>
          <w:sz w:val="24"/>
        </w:rPr>
      </w:pPr>
      <w:r w:rsidRPr="00445C04">
        <w:rPr>
          <w:rFonts w:ascii="Book Antiqua" w:hAnsi="Book Antiqua" w:cs="Times New Roman"/>
          <w:noProof/>
          <w:sz w:val="24"/>
        </w:rPr>
        <w:t xml:space="preserve">Nazir, M. (2017). </w:t>
      </w:r>
      <w:r w:rsidRPr="00445C04">
        <w:rPr>
          <w:rFonts w:ascii="Book Antiqua" w:hAnsi="Book Antiqua" w:cs="Times New Roman"/>
          <w:i/>
          <w:iCs/>
          <w:noProof/>
          <w:sz w:val="24"/>
        </w:rPr>
        <w:t>Metode Penelitian.</w:t>
      </w:r>
      <w:r w:rsidRPr="00445C04">
        <w:rPr>
          <w:rFonts w:ascii="Book Antiqua" w:hAnsi="Book Antiqua" w:cs="Times New Roman"/>
          <w:noProof/>
          <w:sz w:val="24"/>
        </w:rPr>
        <w:t xml:space="preserve"> Ghalia Indonesia.</w:t>
      </w:r>
    </w:p>
    <w:p w14:paraId="796E9AF1" w14:textId="77777777" w:rsidR="00445C04" w:rsidRPr="00445C04" w:rsidRDefault="00445C04" w:rsidP="00CC5F25">
      <w:pPr>
        <w:adjustRightInd w:val="0"/>
        <w:ind w:left="480" w:hanging="480"/>
        <w:jc w:val="both"/>
        <w:rPr>
          <w:rFonts w:ascii="Book Antiqua" w:hAnsi="Book Antiqua" w:cs="Times New Roman"/>
          <w:noProof/>
          <w:sz w:val="24"/>
        </w:rPr>
      </w:pPr>
      <w:r w:rsidRPr="00445C04">
        <w:rPr>
          <w:rFonts w:ascii="Book Antiqua" w:hAnsi="Book Antiqua" w:cs="Times New Roman"/>
          <w:noProof/>
          <w:sz w:val="24"/>
        </w:rPr>
        <w:t xml:space="preserve">Ramayulis. (2015). </w:t>
      </w:r>
      <w:r w:rsidRPr="00445C04">
        <w:rPr>
          <w:rFonts w:ascii="Book Antiqua" w:hAnsi="Book Antiqua" w:cs="Times New Roman"/>
          <w:i/>
          <w:iCs/>
          <w:noProof/>
          <w:sz w:val="24"/>
        </w:rPr>
        <w:t>Ilmu Pendidikan Islam.</w:t>
      </w:r>
      <w:r w:rsidRPr="00445C04">
        <w:rPr>
          <w:rFonts w:ascii="Book Antiqua" w:hAnsi="Book Antiqua" w:cs="Times New Roman"/>
          <w:noProof/>
          <w:sz w:val="24"/>
        </w:rPr>
        <w:t xml:space="preserve"> Kalam Mulia.</w:t>
      </w:r>
    </w:p>
    <w:p w14:paraId="233B0BE5" w14:textId="77777777" w:rsidR="00445C04" w:rsidRPr="00445C04" w:rsidRDefault="00445C04" w:rsidP="00CC5F25">
      <w:pPr>
        <w:adjustRightInd w:val="0"/>
        <w:ind w:left="480" w:hanging="480"/>
        <w:jc w:val="both"/>
        <w:rPr>
          <w:rFonts w:ascii="Book Antiqua" w:hAnsi="Book Antiqua" w:cs="Times New Roman"/>
          <w:noProof/>
          <w:sz w:val="24"/>
        </w:rPr>
      </w:pPr>
      <w:r w:rsidRPr="00445C04">
        <w:rPr>
          <w:rFonts w:ascii="Book Antiqua" w:hAnsi="Book Antiqua" w:cs="Times New Roman"/>
          <w:noProof/>
          <w:sz w:val="24"/>
        </w:rPr>
        <w:t xml:space="preserve">Reardon, B. A. (1988). </w:t>
      </w:r>
      <w:r w:rsidRPr="00445C04">
        <w:rPr>
          <w:rFonts w:ascii="Book Antiqua" w:hAnsi="Book Antiqua" w:cs="Times New Roman"/>
          <w:i/>
          <w:iCs/>
          <w:noProof/>
          <w:sz w:val="24"/>
        </w:rPr>
        <w:t>Comprehensive Peace Education: Educating for Global Responsibility.</w:t>
      </w:r>
      <w:r w:rsidRPr="00445C04">
        <w:rPr>
          <w:rFonts w:ascii="Book Antiqua" w:hAnsi="Book Antiqua" w:cs="Times New Roman"/>
          <w:noProof/>
          <w:sz w:val="24"/>
        </w:rPr>
        <w:t xml:space="preserve"> Teachers College Press.</w:t>
      </w:r>
    </w:p>
    <w:p w14:paraId="2B44108E" w14:textId="77777777" w:rsidR="00445C04" w:rsidRPr="00445C04" w:rsidRDefault="00445C04" w:rsidP="00CC5F25">
      <w:pPr>
        <w:adjustRightInd w:val="0"/>
        <w:ind w:left="480" w:hanging="480"/>
        <w:jc w:val="both"/>
        <w:rPr>
          <w:rFonts w:ascii="Book Antiqua" w:hAnsi="Book Antiqua" w:cs="Times New Roman"/>
          <w:noProof/>
          <w:sz w:val="24"/>
        </w:rPr>
      </w:pPr>
      <w:r w:rsidRPr="00445C04">
        <w:rPr>
          <w:rFonts w:ascii="Book Antiqua" w:hAnsi="Book Antiqua" w:cs="Times New Roman"/>
          <w:noProof/>
          <w:sz w:val="24"/>
        </w:rPr>
        <w:t xml:space="preserve">Shihab, M. Q. (2002). </w:t>
      </w:r>
      <w:r w:rsidRPr="00445C04">
        <w:rPr>
          <w:rFonts w:ascii="Book Antiqua" w:hAnsi="Book Antiqua" w:cs="Times New Roman"/>
          <w:i/>
          <w:iCs/>
          <w:noProof/>
          <w:sz w:val="24"/>
        </w:rPr>
        <w:t>Tafsir Al-Misbah: Pesan, Kesan dan Keserasian Al-Qur’an.</w:t>
      </w:r>
      <w:r w:rsidRPr="00445C04">
        <w:rPr>
          <w:rFonts w:ascii="Book Antiqua" w:hAnsi="Book Antiqua" w:cs="Times New Roman"/>
          <w:noProof/>
          <w:sz w:val="24"/>
        </w:rPr>
        <w:t xml:space="preserve"> Lentera Hati.</w:t>
      </w:r>
    </w:p>
    <w:p w14:paraId="6D3BF28C" w14:textId="77777777" w:rsidR="00445C04" w:rsidRPr="00445C04" w:rsidRDefault="00445C04" w:rsidP="00CC5F25">
      <w:pPr>
        <w:adjustRightInd w:val="0"/>
        <w:ind w:left="480" w:hanging="480"/>
        <w:jc w:val="both"/>
        <w:rPr>
          <w:rFonts w:ascii="Book Antiqua" w:hAnsi="Book Antiqua" w:cs="Times New Roman"/>
          <w:noProof/>
          <w:sz w:val="24"/>
        </w:rPr>
      </w:pPr>
      <w:r w:rsidRPr="00445C04">
        <w:rPr>
          <w:rFonts w:ascii="Book Antiqua" w:hAnsi="Book Antiqua" w:cs="Times New Roman"/>
          <w:noProof/>
          <w:sz w:val="24"/>
        </w:rPr>
        <w:t xml:space="preserve">Tim Peneliti Pusat Studi Islam. (2021). Strategi Pendidikan Anti-Ekstremisme di Lembaga Pendidikan Islam. </w:t>
      </w:r>
      <w:r w:rsidRPr="00445C04">
        <w:rPr>
          <w:rFonts w:ascii="Book Antiqua" w:hAnsi="Book Antiqua" w:cs="Times New Roman"/>
          <w:i/>
          <w:iCs/>
          <w:noProof/>
          <w:sz w:val="24"/>
        </w:rPr>
        <w:t>Prosiding Konferensi Nasional Pendidikan Islam</w:t>
      </w:r>
      <w:r w:rsidRPr="00445C04">
        <w:rPr>
          <w:rFonts w:ascii="Book Antiqua" w:hAnsi="Book Antiqua" w:cs="Times New Roman"/>
          <w:noProof/>
          <w:sz w:val="24"/>
        </w:rPr>
        <w:t>, 112–130.</w:t>
      </w:r>
    </w:p>
    <w:p w14:paraId="2FD4D255" w14:textId="77777777" w:rsidR="00445C04" w:rsidRPr="00445C04" w:rsidRDefault="00445C04" w:rsidP="00CC5F25">
      <w:pPr>
        <w:adjustRightInd w:val="0"/>
        <w:ind w:left="480" w:hanging="480"/>
        <w:jc w:val="both"/>
        <w:rPr>
          <w:rFonts w:ascii="Book Antiqua" w:hAnsi="Book Antiqua"/>
          <w:noProof/>
          <w:sz w:val="24"/>
        </w:rPr>
      </w:pPr>
      <w:r w:rsidRPr="00445C04">
        <w:rPr>
          <w:rFonts w:ascii="Book Antiqua" w:hAnsi="Book Antiqua" w:cs="Times New Roman"/>
          <w:noProof/>
          <w:sz w:val="24"/>
        </w:rPr>
        <w:t xml:space="preserve">Zainuddin, H. (2020). Pendidikan Anti-Radikalisme Berbasis Nilai Wasathiyyah. </w:t>
      </w:r>
      <w:r w:rsidRPr="00445C04">
        <w:rPr>
          <w:rFonts w:ascii="Book Antiqua" w:hAnsi="Book Antiqua" w:cs="Times New Roman"/>
          <w:i/>
          <w:iCs/>
          <w:noProof/>
          <w:sz w:val="24"/>
        </w:rPr>
        <w:t>Jurnal Pendidikan Islam</w:t>
      </w:r>
      <w:r w:rsidRPr="00445C04">
        <w:rPr>
          <w:rFonts w:ascii="Book Antiqua" w:hAnsi="Book Antiqua" w:cs="Times New Roman"/>
          <w:noProof/>
          <w:sz w:val="24"/>
        </w:rPr>
        <w:t xml:space="preserve">, </w:t>
      </w:r>
      <w:r w:rsidRPr="00445C04">
        <w:rPr>
          <w:rFonts w:ascii="Book Antiqua" w:hAnsi="Book Antiqua" w:cs="Times New Roman"/>
          <w:i/>
          <w:iCs/>
          <w:noProof/>
          <w:sz w:val="24"/>
        </w:rPr>
        <w:t>10(2)</w:t>
      </w:r>
      <w:r w:rsidRPr="00445C04">
        <w:rPr>
          <w:rFonts w:ascii="Book Antiqua" w:hAnsi="Book Antiqua" w:cs="Times New Roman"/>
          <w:noProof/>
          <w:sz w:val="24"/>
        </w:rPr>
        <w:t>, 145-163.</w:t>
      </w:r>
    </w:p>
    <w:p w14:paraId="2AAD0159" w14:textId="62E765ED" w:rsidR="00445C04" w:rsidRPr="00A025E5" w:rsidRDefault="00445C04" w:rsidP="00CC5F25">
      <w:pPr>
        <w:ind w:firstLine="720"/>
        <w:jc w:val="both"/>
        <w:rPr>
          <w:rFonts w:ascii="Book Antiqua" w:hAnsi="Book Antiqua"/>
        </w:rPr>
      </w:pPr>
      <w:r w:rsidRPr="00445C04">
        <w:rPr>
          <w:rFonts w:ascii="Book Antiqua" w:hAnsi="Book Antiqua" w:cs="Tahoma"/>
          <w:color w:val="000000" w:themeColor="text1"/>
          <w:sz w:val="24"/>
          <w:szCs w:val="24"/>
          <w:shd w:val="clear" w:color="auto" w:fill="FFFFFF"/>
        </w:rPr>
        <w:fldChar w:fldCharType="end"/>
      </w:r>
    </w:p>
    <w:p w14:paraId="642FFEC7" w14:textId="257BF30E" w:rsidR="006C2D77" w:rsidRPr="00A025E5" w:rsidRDefault="006C2D77" w:rsidP="007178FE">
      <w:pPr>
        <w:pStyle w:val="ListParagraph"/>
        <w:ind w:left="426" w:firstLine="0"/>
        <w:rPr>
          <w:rFonts w:ascii="Book Antiqua" w:hAnsi="Book Antiqua"/>
        </w:rPr>
      </w:pPr>
    </w:p>
    <w:sectPr w:rsidR="006C2D77" w:rsidRPr="00A025E5" w:rsidSect="00267153">
      <w:footerReference w:type="default" r:id="rId13"/>
      <w:footerReference w:type="first" r:id="rId14"/>
      <w:pgSz w:w="11910" w:h="16840"/>
      <w:pgMar w:top="1060" w:right="1559" w:bottom="1480" w:left="1700" w:header="0" w:footer="1300" w:gutter="0"/>
      <w:pgNumType w:start="302"/>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0D88F8" w14:textId="77777777" w:rsidR="00504D91" w:rsidRDefault="00504D91">
      <w:r>
        <w:separator/>
      </w:r>
    </w:p>
  </w:endnote>
  <w:endnote w:type="continuationSeparator" w:id="0">
    <w:p w14:paraId="4779031B" w14:textId="77777777" w:rsidR="00504D91" w:rsidRDefault="00504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ordia New">
    <w:panose1 w:val="020B0304020202020204"/>
    <w:charset w:val="DE"/>
    <w:family w:val="roman"/>
    <w:notTrueType/>
    <w:pitch w:val="variable"/>
    <w:sig w:usb0="01000001" w:usb1="00000000" w:usb2="00000000" w:usb3="00000000" w:csb0="00010000"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E32B78" w14:textId="77777777" w:rsidR="006C2D77" w:rsidRDefault="00281E15">
    <w:pPr>
      <w:pStyle w:val="BodyText"/>
      <w:spacing w:line="14" w:lineRule="auto"/>
      <w:ind w:left="0"/>
      <w:jc w:val="left"/>
      <w:rPr>
        <w:sz w:val="20"/>
      </w:rPr>
    </w:pPr>
    <w:r>
      <w:rPr>
        <w:noProof/>
        <w:sz w:val="20"/>
      </w:rPr>
      <mc:AlternateContent>
        <mc:Choice Requires="wps">
          <w:drawing>
            <wp:anchor distT="0" distB="0" distL="0" distR="0" simplePos="0" relativeHeight="251654144" behindDoc="1" locked="0" layoutInCell="1" allowOverlap="1" wp14:anchorId="691B5065" wp14:editId="57E81BAA">
              <wp:simplePos x="0" y="0"/>
              <wp:positionH relativeFrom="page">
                <wp:posOffset>6195059</wp:posOffset>
              </wp:positionH>
              <wp:positionV relativeFrom="page">
                <wp:posOffset>9783127</wp:posOffset>
              </wp:positionV>
              <wp:extent cx="1270" cy="29083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90830"/>
                      </a:xfrm>
                      <a:custGeom>
                        <a:avLst/>
                        <a:gdLst/>
                        <a:ahLst/>
                        <a:cxnLst/>
                        <a:rect l="l" t="t" r="r" b="b"/>
                        <a:pathLst>
                          <a:path h="290830">
                            <a:moveTo>
                              <a:pt x="0" y="0"/>
                            </a:moveTo>
                            <a:lnTo>
                              <a:pt x="0" y="29082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108913" id="Graphic 2" o:spid="_x0000_s1026" style="position:absolute;margin-left:487.8pt;margin-top:770.3pt;width:.1pt;height:22.9pt;z-index:-251662336;visibility:visible;mso-wrap-style:square;mso-wrap-distance-left:0;mso-wrap-distance-top:0;mso-wrap-distance-right:0;mso-wrap-distance-bottom:0;mso-position-horizontal:absolute;mso-position-horizontal-relative:page;mso-position-vertical:absolute;mso-position-vertical-relative:page;v-text-anchor:top" coordsize="1270,29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Yv2DQIAAFgEAAAOAAAAZHJzL2Uyb0RvYy54bWysVE1v2zAMvQ/YfxB0X5xk6NYYcYqhQYcB&#10;RVegGXZWZDk2JosaqcTJvx8lf7Rrb8N8ECiRIh/fo7y+ObdWnAxSA66Qi9lcCuM0lI07FPLH7u7D&#10;tRQUlCuVBWcKeTEkbzbv3607n5sl1GBLg4KTOMo7X8g6BJ9nGenatIpm4I1jZwXYqsBbPGQlqo6z&#10;tzZbzuefsg6w9AjaEPHptnfKTcpfVUaH71VFJghbSMYW0opp3cc126xVfkDl60YPMNQ/oGhV47jo&#10;lGqrghJHbN6kahuNQFCFmYY2g6pqtEk9cDeL+atunmrlTeqFySE/0UT/L61+OD35R4zQyd+D/kXM&#10;SNZ5yidP3NAQc66wjbEMXJwTi5eJRXMOQvPhYvmZmdbsWK7m1x8Tx5nKx6v6SOGrgZRGne4p9BKU&#10;o6Xq0dJnN5rIQkYJbZIwSMESohQs4b6X0KsQ70Vs0RT1VD0etXAyO0jO8Ao3I3v2Wvc2KjaxXMUq&#10;HNoHsBGLpJOpMB++bM060RVydbW8SnNBYJvyrrE2giA87G8tipOKU5m+If9fYR4pbBXVfVxyTTAG&#10;kXpdokJ7KC+PKDoe5ULS76NCI4X95nhW4tyPBo7GfjQw2FtIryPxwzV3558KvYjlCxlY1gcYJ1Hl&#10;o2SRgyk23nTw5RigaqKeaYB6RMOGxzfRNTy1+D5e7lPU8w9h8wcAAP//AwBQSwMEFAAGAAgAAAAh&#10;AIhxqRrfAAAADQEAAA8AAABkcnMvZG93bnJldi54bWxMT01LxDAQvQv+hzCCF3FTdbeutekigiAe&#10;hO4KXmeb2FSTSW3Sbf33zp70Nu+DN++Vm9k7cTBD7AIpuFpkIAw1QXfUKnjbPV2uQcSEpNEFMgp+&#10;TIRNdXpSYqHDRLU5bFMrOIRigQpsSn0hZWys8RgXoTfE2kcYPCaGQyv1gBOHeyevsyyXHjviDxZ7&#10;82hN87UdvYIaXf5Zf8ude3b1qKfX95cLe6PU+dn8cA8imTn9meFYn6tDxZ32YSQdhVNwd7vK2crC&#10;apnxxRameM3+SK3zJciqlP9XVL8AAAD//wMAUEsBAi0AFAAGAAgAAAAhALaDOJL+AAAA4QEAABMA&#10;AAAAAAAAAAAAAAAAAAAAAFtDb250ZW50X1R5cGVzXS54bWxQSwECLQAUAAYACAAAACEAOP0h/9YA&#10;AACUAQAACwAAAAAAAAAAAAAAAAAvAQAAX3JlbHMvLnJlbHNQSwECLQAUAAYACAAAACEAl1WL9g0C&#10;AABYBAAADgAAAAAAAAAAAAAAAAAuAgAAZHJzL2Uyb0RvYy54bWxQSwECLQAUAAYACAAAACEAiHGp&#10;Gt8AAAANAQAADwAAAAAAAAAAAAAAAABnBAAAZHJzL2Rvd25yZXYueG1sUEsFBgAAAAAEAAQA8wAA&#10;AHMFAAAAAA==&#10;" path="m,l,290829e" filled="f">
              <v:path arrowok="t"/>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7E7A34F3" wp14:editId="314E5992">
              <wp:simplePos x="0" y="0"/>
              <wp:positionH relativeFrom="page">
                <wp:posOffset>1068387</wp:posOffset>
              </wp:positionH>
              <wp:positionV relativeFrom="page">
                <wp:posOffset>9728454</wp:posOffset>
              </wp:positionV>
              <wp:extent cx="3808729" cy="3505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08729" cy="350520"/>
                      </a:xfrm>
                      <a:prstGeom prst="rect">
                        <a:avLst/>
                      </a:prstGeom>
                    </wps:spPr>
                    <wps:txbx>
                      <w:txbxContent>
                        <w:p w14:paraId="43CAA3E7" w14:textId="3839D58F" w:rsidR="006C2D77" w:rsidRDefault="00281E15">
                          <w:pPr>
                            <w:spacing w:before="4"/>
                            <w:ind w:left="20"/>
                            <w:rPr>
                              <w:rFonts w:ascii="Times New Roman"/>
                              <w:b/>
                            </w:rPr>
                          </w:pPr>
                          <w:r>
                            <w:rPr>
                              <w:rFonts w:ascii="Times New Roman"/>
                              <w:b/>
                              <w:spacing w:val="-2"/>
                            </w:rPr>
                            <w:t>Proceedings</w:t>
                          </w:r>
                          <w:r>
                            <w:rPr>
                              <w:rFonts w:ascii="Times New Roman"/>
                              <w:b/>
                              <w:spacing w:val="-4"/>
                            </w:rPr>
                            <w:t xml:space="preserve"> </w:t>
                          </w:r>
                          <w:r w:rsidR="007178FE">
                            <w:rPr>
                              <w:rFonts w:ascii="Times New Roman"/>
                              <w:b/>
                              <w:spacing w:val="-2"/>
                            </w:rPr>
                            <w:t>2</w:t>
                          </w:r>
                          <w:r w:rsidR="007178FE">
                            <w:rPr>
                              <w:rFonts w:ascii="Times New Roman"/>
                              <w:b/>
                              <w:spacing w:val="-2"/>
                              <w:position w:val="5"/>
                              <w:sz w:val="14"/>
                            </w:rPr>
                            <w:t>nd</w:t>
                          </w:r>
                          <w:r>
                            <w:rPr>
                              <w:rFonts w:ascii="Times New Roman"/>
                              <w:b/>
                              <w:spacing w:val="19"/>
                              <w:position w:val="5"/>
                              <w:sz w:val="14"/>
                            </w:rPr>
                            <w:t xml:space="preserve"> </w:t>
                          </w:r>
                          <w:r>
                            <w:rPr>
                              <w:rFonts w:ascii="Times New Roman"/>
                              <w:b/>
                              <w:spacing w:val="-2"/>
                            </w:rPr>
                            <w:t>Annual</w:t>
                          </w:r>
                          <w:r>
                            <w:rPr>
                              <w:rFonts w:ascii="Times New Roman"/>
                              <w:b/>
                              <w:spacing w:val="-4"/>
                            </w:rPr>
                            <w:t xml:space="preserve"> </w:t>
                          </w:r>
                          <w:r>
                            <w:rPr>
                              <w:rFonts w:ascii="Times New Roman"/>
                              <w:b/>
                              <w:spacing w:val="-2"/>
                            </w:rPr>
                            <w:t>Conference</w:t>
                          </w:r>
                          <w:r>
                            <w:rPr>
                              <w:rFonts w:ascii="Times New Roman"/>
                              <w:b/>
                              <w:spacing w:val="-1"/>
                            </w:rPr>
                            <w:t xml:space="preserve"> </w:t>
                          </w:r>
                          <w:r>
                            <w:rPr>
                              <w:rFonts w:ascii="Times New Roman"/>
                              <w:b/>
                              <w:spacing w:val="-2"/>
                            </w:rPr>
                            <w:t>on</w:t>
                          </w:r>
                          <w:r>
                            <w:rPr>
                              <w:rFonts w:ascii="Times New Roman"/>
                              <w:b/>
                              <w:spacing w:val="-4"/>
                            </w:rPr>
                            <w:t xml:space="preserve"> </w:t>
                          </w:r>
                          <w:r>
                            <w:rPr>
                              <w:rFonts w:ascii="Times New Roman"/>
                              <w:b/>
                              <w:spacing w:val="-2"/>
                            </w:rPr>
                            <w:t>Moderate</w:t>
                          </w:r>
                          <w:r>
                            <w:rPr>
                              <w:rFonts w:ascii="Times New Roman"/>
                              <w:b/>
                              <w:spacing w:val="-4"/>
                            </w:rPr>
                            <w:t xml:space="preserve"> </w:t>
                          </w:r>
                          <w:r>
                            <w:rPr>
                              <w:rFonts w:ascii="Times New Roman"/>
                              <w:b/>
                              <w:spacing w:val="-2"/>
                            </w:rPr>
                            <w:t>Islamic</w:t>
                          </w:r>
                          <w:r>
                            <w:rPr>
                              <w:rFonts w:ascii="Times New Roman"/>
                              <w:b/>
                              <w:spacing w:val="-1"/>
                            </w:rPr>
                            <w:t xml:space="preserve"> </w:t>
                          </w:r>
                          <w:r>
                            <w:rPr>
                              <w:rFonts w:ascii="Times New Roman"/>
                              <w:b/>
                              <w:spacing w:val="-2"/>
                            </w:rPr>
                            <w:t>Studies</w:t>
                          </w:r>
                        </w:p>
                        <w:p w14:paraId="4FFEB0EE" w14:textId="3EBBAD68" w:rsidR="006C2D77" w:rsidRDefault="00281E15">
                          <w:pPr>
                            <w:spacing w:before="11"/>
                            <w:ind w:left="20"/>
                            <w:rPr>
                              <w:rFonts w:ascii="Times New Roman"/>
                              <w:i/>
                            </w:rPr>
                          </w:pPr>
                          <w:r>
                            <w:rPr>
                              <w:rFonts w:ascii="Times New Roman"/>
                              <w:i/>
                              <w:spacing w:val="-2"/>
                            </w:rPr>
                            <w:t>Vol.</w:t>
                          </w:r>
                          <w:r>
                            <w:rPr>
                              <w:rFonts w:ascii="Times New Roman"/>
                              <w:i/>
                              <w:spacing w:val="-9"/>
                            </w:rPr>
                            <w:t xml:space="preserve"> </w:t>
                          </w:r>
                          <w:r>
                            <w:rPr>
                              <w:rFonts w:ascii="Times New Roman"/>
                              <w:i/>
                              <w:spacing w:val="-2"/>
                            </w:rPr>
                            <w:t>0</w:t>
                          </w:r>
                          <w:r w:rsidR="00CC5F25">
                            <w:rPr>
                              <w:rFonts w:ascii="Times New Roman"/>
                              <w:i/>
                              <w:spacing w:val="-2"/>
                            </w:rPr>
                            <w:t>2</w:t>
                          </w:r>
                          <w:r>
                            <w:rPr>
                              <w:rFonts w:ascii="Times New Roman"/>
                              <w:i/>
                              <w:spacing w:val="-10"/>
                            </w:rPr>
                            <w:t xml:space="preserve"> </w:t>
                          </w:r>
                          <w:r>
                            <w:rPr>
                              <w:rFonts w:ascii="Times New Roman"/>
                              <w:i/>
                              <w:spacing w:val="-2"/>
                            </w:rPr>
                            <w:t>No.</w:t>
                          </w:r>
                          <w:r>
                            <w:rPr>
                              <w:rFonts w:ascii="Times New Roman"/>
                              <w:i/>
                              <w:spacing w:val="-10"/>
                            </w:rPr>
                            <w:t xml:space="preserve"> </w:t>
                          </w:r>
                          <w:r>
                            <w:rPr>
                              <w:rFonts w:ascii="Times New Roman"/>
                              <w:i/>
                              <w:spacing w:val="-2"/>
                            </w:rPr>
                            <w:t>0</w:t>
                          </w:r>
                          <w:r w:rsidR="00CC5F25">
                            <w:rPr>
                              <w:rFonts w:ascii="Times New Roman"/>
                              <w:i/>
                              <w:spacing w:val="-2"/>
                            </w:rPr>
                            <w:t>1</w:t>
                          </w:r>
                          <w:r>
                            <w:rPr>
                              <w:rFonts w:ascii="Times New Roman"/>
                              <w:i/>
                              <w:spacing w:val="-10"/>
                            </w:rPr>
                            <w:t xml:space="preserve"> </w:t>
                          </w:r>
                          <w:r>
                            <w:rPr>
                              <w:rFonts w:ascii="Times New Roman"/>
                              <w:i/>
                              <w:spacing w:val="-4"/>
                            </w:rPr>
                            <w:t>(202</w:t>
                          </w:r>
                          <w:r w:rsidR="007178FE">
                            <w:rPr>
                              <w:rFonts w:ascii="Times New Roman"/>
                              <w:i/>
                              <w:spacing w:val="-4"/>
                            </w:rPr>
                            <w:t>6</w:t>
                          </w:r>
                          <w:r w:rsidR="00CC5F25">
                            <w:rPr>
                              <w:rFonts w:ascii="Times New Roman"/>
                              <w:i/>
                              <w:spacing w:val="-4"/>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84.1pt;margin-top:766pt;width:299.9pt;height:27.6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J/2qQEAAD8DAAAOAAAAZHJzL2Uyb0RvYy54bWysUsFuGyEQvVfqPyDuNRtbad2V11HbqFWl&#10;qI2U9ANYFryoC0MZ7F3/fQe8dqL2FuUCAzzemzczm5vJDeygI1rwDb9aVJxpr6CzftfwX49f3605&#10;wyR9JwfwuuFHjfxm+/bNZgy1XkIPQ6cjIxKP9Rga3qcUaiFQ9dpJXEDQnh4NRCcTHeNOdFGOxO4G&#10;sayq92KE2IUISiPS7e3pkW8LvzFapZ/GoE5saDjllsoay9rmVWw3st5FGXqr5jTkC7Jw0noSvVDd&#10;yiTZPtr/qJxVERBMWihwAoyxShcP5Oaq+sfNQy+DLl6oOBguZcLXo1U/DveR2a7hK868dNSiRz2l&#10;Fia2ysUZA9aEeQiEStNnmKjJxSiGO1C/kSDiGeb0AQmdizGZ6PJONhl9pPofLzUnEabocrWu1h+W&#10;HzlT9La6rq6XpSni6XeImL5pcCwHDY/U05KBPNxhyvqyPkPmZE76Oa00tdPsooXuSCZG6nXD8c9e&#10;Rs3Z8N1TMfNgnIN4DtpzENPwBcr4ZC8ePu0TGFuUs8SJd1amLpWE5onKY/D8XFBPc7/9CwAA//8D&#10;AFBLAwQUAAYACAAAACEAFMNlN98AAAANAQAADwAAAGRycy9kb3ducmV2LnhtbExPQU7DMBC8I/EH&#10;a5G4UQejJlEap0JFFQfEoQWkHt14iSNiO4rd1P092xPcZnZGszP1OtmBzTiF3jsJj4sMGLrW6951&#10;Ej4/tg8lsBCV02rwDiVcMMC6ub2pVaX92e1w3seOUYgLlZJgYhwrzkNr0Kqw8CM60r79ZFUkOnVc&#10;T+pM4XbgIstyblXv6INRI24Mtj/7k5XwtRm3b+lg1Pu81K8vothdpjZJeX+XnlfAIqb4Z4ZrfaoO&#10;DXU6+pPTgQ3E81KQlcDySdAqshR5SeB4PZWFAN7U/P+K5hcAAP//AwBQSwECLQAUAAYACAAAACEA&#10;toM4kv4AAADhAQAAEwAAAAAAAAAAAAAAAAAAAAAAW0NvbnRlbnRfVHlwZXNdLnhtbFBLAQItABQA&#10;BgAIAAAAIQA4/SH/1gAAAJQBAAALAAAAAAAAAAAAAAAAAC8BAABfcmVscy8ucmVsc1BLAQItABQA&#10;BgAIAAAAIQCInJ/2qQEAAD8DAAAOAAAAAAAAAAAAAAAAAC4CAABkcnMvZTJvRG9jLnhtbFBLAQIt&#10;ABQABgAIAAAAIQAUw2U33wAAAA0BAAAPAAAAAAAAAAAAAAAAAAMEAABkcnMvZG93bnJldi54bWxQ&#10;SwUGAAAAAAQABADzAAAADwUAAAAA&#10;" filled="f" stroked="f">
              <v:path arrowok="t"/>
              <v:textbox inset="0,0,0,0">
                <w:txbxContent>
                  <w:p w14:paraId="43CAA3E7" w14:textId="3839D58F" w:rsidR="006C2D77" w:rsidRDefault="00281E15">
                    <w:pPr>
                      <w:spacing w:before="4"/>
                      <w:ind w:left="20"/>
                      <w:rPr>
                        <w:rFonts w:ascii="Times New Roman"/>
                        <w:b/>
                      </w:rPr>
                    </w:pPr>
                    <w:r>
                      <w:rPr>
                        <w:rFonts w:ascii="Times New Roman"/>
                        <w:b/>
                        <w:spacing w:val="-2"/>
                      </w:rPr>
                      <w:t>Proceedings</w:t>
                    </w:r>
                    <w:r>
                      <w:rPr>
                        <w:rFonts w:ascii="Times New Roman"/>
                        <w:b/>
                        <w:spacing w:val="-4"/>
                      </w:rPr>
                      <w:t xml:space="preserve"> </w:t>
                    </w:r>
                    <w:r w:rsidR="007178FE">
                      <w:rPr>
                        <w:rFonts w:ascii="Times New Roman"/>
                        <w:b/>
                        <w:spacing w:val="-2"/>
                      </w:rPr>
                      <w:t>2</w:t>
                    </w:r>
                    <w:r w:rsidR="007178FE">
                      <w:rPr>
                        <w:rFonts w:ascii="Times New Roman"/>
                        <w:b/>
                        <w:spacing w:val="-2"/>
                        <w:position w:val="5"/>
                        <w:sz w:val="14"/>
                      </w:rPr>
                      <w:t>nd</w:t>
                    </w:r>
                    <w:r>
                      <w:rPr>
                        <w:rFonts w:ascii="Times New Roman"/>
                        <w:b/>
                        <w:spacing w:val="19"/>
                        <w:position w:val="5"/>
                        <w:sz w:val="14"/>
                      </w:rPr>
                      <w:t xml:space="preserve"> </w:t>
                    </w:r>
                    <w:r>
                      <w:rPr>
                        <w:rFonts w:ascii="Times New Roman"/>
                        <w:b/>
                        <w:spacing w:val="-2"/>
                      </w:rPr>
                      <w:t>Annual</w:t>
                    </w:r>
                    <w:r>
                      <w:rPr>
                        <w:rFonts w:ascii="Times New Roman"/>
                        <w:b/>
                        <w:spacing w:val="-4"/>
                      </w:rPr>
                      <w:t xml:space="preserve"> </w:t>
                    </w:r>
                    <w:r>
                      <w:rPr>
                        <w:rFonts w:ascii="Times New Roman"/>
                        <w:b/>
                        <w:spacing w:val="-2"/>
                      </w:rPr>
                      <w:t>Conference</w:t>
                    </w:r>
                    <w:r>
                      <w:rPr>
                        <w:rFonts w:ascii="Times New Roman"/>
                        <w:b/>
                        <w:spacing w:val="-1"/>
                      </w:rPr>
                      <w:t xml:space="preserve"> </w:t>
                    </w:r>
                    <w:r>
                      <w:rPr>
                        <w:rFonts w:ascii="Times New Roman"/>
                        <w:b/>
                        <w:spacing w:val="-2"/>
                      </w:rPr>
                      <w:t>on</w:t>
                    </w:r>
                    <w:r>
                      <w:rPr>
                        <w:rFonts w:ascii="Times New Roman"/>
                        <w:b/>
                        <w:spacing w:val="-4"/>
                      </w:rPr>
                      <w:t xml:space="preserve"> </w:t>
                    </w:r>
                    <w:r>
                      <w:rPr>
                        <w:rFonts w:ascii="Times New Roman"/>
                        <w:b/>
                        <w:spacing w:val="-2"/>
                      </w:rPr>
                      <w:t>Moderate</w:t>
                    </w:r>
                    <w:r>
                      <w:rPr>
                        <w:rFonts w:ascii="Times New Roman"/>
                        <w:b/>
                        <w:spacing w:val="-4"/>
                      </w:rPr>
                      <w:t xml:space="preserve"> </w:t>
                    </w:r>
                    <w:r>
                      <w:rPr>
                        <w:rFonts w:ascii="Times New Roman"/>
                        <w:b/>
                        <w:spacing w:val="-2"/>
                      </w:rPr>
                      <w:t>Islamic</w:t>
                    </w:r>
                    <w:r>
                      <w:rPr>
                        <w:rFonts w:ascii="Times New Roman"/>
                        <w:b/>
                        <w:spacing w:val="-1"/>
                      </w:rPr>
                      <w:t xml:space="preserve"> </w:t>
                    </w:r>
                    <w:r>
                      <w:rPr>
                        <w:rFonts w:ascii="Times New Roman"/>
                        <w:b/>
                        <w:spacing w:val="-2"/>
                      </w:rPr>
                      <w:t>Studies</w:t>
                    </w:r>
                  </w:p>
                  <w:p w14:paraId="4FFEB0EE" w14:textId="3EBBAD68" w:rsidR="006C2D77" w:rsidRDefault="00281E15">
                    <w:pPr>
                      <w:spacing w:before="11"/>
                      <w:ind w:left="20"/>
                      <w:rPr>
                        <w:rFonts w:ascii="Times New Roman"/>
                        <w:i/>
                      </w:rPr>
                    </w:pPr>
                    <w:r>
                      <w:rPr>
                        <w:rFonts w:ascii="Times New Roman"/>
                        <w:i/>
                        <w:spacing w:val="-2"/>
                      </w:rPr>
                      <w:t>Vol.</w:t>
                    </w:r>
                    <w:r>
                      <w:rPr>
                        <w:rFonts w:ascii="Times New Roman"/>
                        <w:i/>
                        <w:spacing w:val="-9"/>
                      </w:rPr>
                      <w:t xml:space="preserve"> </w:t>
                    </w:r>
                    <w:r>
                      <w:rPr>
                        <w:rFonts w:ascii="Times New Roman"/>
                        <w:i/>
                        <w:spacing w:val="-2"/>
                      </w:rPr>
                      <w:t>0</w:t>
                    </w:r>
                    <w:r w:rsidR="00CC5F25">
                      <w:rPr>
                        <w:rFonts w:ascii="Times New Roman"/>
                        <w:i/>
                        <w:spacing w:val="-2"/>
                      </w:rPr>
                      <w:t>2</w:t>
                    </w:r>
                    <w:r>
                      <w:rPr>
                        <w:rFonts w:ascii="Times New Roman"/>
                        <w:i/>
                        <w:spacing w:val="-10"/>
                      </w:rPr>
                      <w:t xml:space="preserve"> </w:t>
                    </w:r>
                    <w:r>
                      <w:rPr>
                        <w:rFonts w:ascii="Times New Roman"/>
                        <w:i/>
                        <w:spacing w:val="-2"/>
                      </w:rPr>
                      <w:t>No.</w:t>
                    </w:r>
                    <w:r>
                      <w:rPr>
                        <w:rFonts w:ascii="Times New Roman"/>
                        <w:i/>
                        <w:spacing w:val="-10"/>
                      </w:rPr>
                      <w:t xml:space="preserve"> </w:t>
                    </w:r>
                    <w:r>
                      <w:rPr>
                        <w:rFonts w:ascii="Times New Roman"/>
                        <w:i/>
                        <w:spacing w:val="-2"/>
                      </w:rPr>
                      <w:t>0</w:t>
                    </w:r>
                    <w:r w:rsidR="00CC5F25">
                      <w:rPr>
                        <w:rFonts w:ascii="Times New Roman"/>
                        <w:i/>
                        <w:spacing w:val="-2"/>
                      </w:rPr>
                      <w:t>1</w:t>
                    </w:r>
                    <w:r>
                      <w:rPr>
                        <w:rFonts w:ascii="Times New Roman"/>
                        <w:i/>
                        <w:spacing w:val="-10"/>
                      </w:rPr>
                      <w:t xml:space="preserve"> </w:t>
                    </w:r>
                    <w:r>
                      <w:rPr>
                        <w:rFonts w:ascii="Times New Roman"/>
                        <w:i/>
                        <w:spacing w:val="-4"/>
                      </w:rPr>
                      <w:t>(202</w:t>
                    </w:r>
                    <w:r w:rsidR="007178FE">
                      <w:rPr>
                        <w:rFonts w:ascii="Times New Roman"/>
                        <w:i/>
                        <w:spacing w:val="-4"/>
                      </w:rPr>
                      <w:t>6</w:t>
                    </w:r>
                    <w:r w:rsidR="00CC5F25">
                      <w:rPr>
                        <w:rFonts w:ascii="Times New Roman"/>
                        <w:i/>
                        <w:spacing w:val="-4"/>
                      </w:rPr>
                      <w:t>)</w:t>
                    </w:r>
                  </w:p>
                </w:txbxContent>
              </v:textbox>
              <w10:wrap anchorx="page" anchory="page"/>
            </v:shape>
          </w:pict>
        </mc:Fallback>
      </mc:AlternateContent>
    </w:r>
    <w:r>
      <w:rPr>
        <w:noProof/>
        <w:sz w:val="20"/>
      </w:rPr>
      <mc:AlternateContent>
        <mc:Choice Requires="wps">
          <w:drawing>
            <wp:anchor distT="0" distB="0" distL="0" distR="0" simplePos="0" relativeHeight="251666432" behindDoc="1" locked="0" layoutInCell="1" allowOverlap="1" wp14:anchorId="25CF034B" wp14:editId="11BE1224">
              <wp:simplePos x="0" y="0"/>
              <wp:positionH relativeFrom="page">
                <wp:posOffset>6222746</wp:posOffset>
              </wp:positionH>
              <wp:positionV relativeFrom="page">
                <wp:posOffset>9885149</wp:posOffset>
              </wp:positionV>
              <wp:extent cx="302260" cy="19685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260" cy="196850"/>
                      </a:xfrm>
                      <a:prstGeom prst="rect">
                        <a:avLst/>
                      </a:prstGeom>
                    </wps:spPr>
                    <wps:txbx>
                      <w:txbxContent>
                        <w:p w14:paraId="5688FC06" w14:textId="77777777" w:rsidR="006C2D77" w:rsidRDefault="00281E15">
                          <w:pPr>
                            <w:pStyle w:val="BodyText"/>
                            <w:spacing w:before="2"/>
                            <w:ind w:left="60"/>
                            <w:jc w:val="left"/>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sidR="00267153">
                            <w:rPr>
                              <w:rFonts w:ascii="Times New Roman"/>
                              <w:noProof/>
                              <w:spacing w:val="-5"/>
                            </w:rPr>
                            <w:t>303</w:t>
                          </w:r>
                          <w:r>
                            <w:rPr>
                              <w:rFonts w:ascii="Times New Roman"/>
                              <w:spacing w:val="-5"/>
                            </w:rPr>
                            <w:fldChar w:fldCharType="end"/>
                          </w:r>
                        </w:p>
                      </w:txbxContent>
                    </wps:txbx>
                    <wps:bodyPr wrap="square" lIns="0" tIns="0" rIns="0" bIns="0" rtlCol="0">
                      <a:noAutofit/>
                    </wps:bodyPr>
                  </wps:wsp>
                </a:graphicData>
              </a:graphic>
            </wp:anchor>
          </w:drawing>
        </mc:Choice>
        <mc:Fallback>
          <w:pict>
            <v:shape id="Textbox 4" o:spid="_x0000_s1027" type="#_x0000_t202" style="position:absolute;margin-left:490pt;margin-top:778.35pt;width:23.8pt;height:15.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Q0oqwEAAEUDAAAOAAAAZHJzL2Uyb0RvYy54bWysUsFu2zAMvQ/YPwi6L3KyLuiMOMW2YsOA&#10;YivQ7gNkWYqFWaImKrHz96OUOC22W9GLTJlPj++R3NxMbmAHHdGCb/hyUXGmvYLO+l3Dfz1+fXfN&#10;GSbpOzmA1w0/auQ327dvNmOo9Qp6GDodGZF4rMfQ8D6lUAuBqtdO4gKC9pQ0EJ1MdI070UU5Ersb&#10;xKqq1mKE2IUISiPS39tTkm8LvzFapZ/GoE5saDhpS+WM5WzzKbYbWe+iDL1VZxnyBSqctJ6KXqhu&#10;ZZJsH+1/VM6qCAgmLRQ4AcZYpYsHcrOs/nHz0MugixdqDoZLm/D1aNWPw31ktmv4FWdeOhrRo55S&#10;CxO7ys0ZA9aEeQiEStNnmGjIxSiGO1C/kSDiGeb0AAmdmzGZ6PKXbDJ6SP0/XnpORZiin++r1WpN&#10;GUWp5cf19YcyE/H0OERM3zQ4loOGRxppESAPd5hyeVnPkLOWU/msKk3tVMwtZy8tdEeyMtLEG45/&#10;9jJqzobvnlqa12MO4hy0cxDT8AXKEmVHHj7tExhbBORKJ96zAJpV0XXeq7wMz+8F9bT9278AAAD/&#10;/wMAUEsDBBQABgAIAAAAIQD9AAog4gAAAA4BAAAPAAAAZHJzL2Rvd25yZXYueG1sTI/BTsMwEETv&#10;SPyDtUjcqE2kxGmIU6GiigPi0AJSj9vYxBGxHcVu6v49zgmOOzOafVNvohnIrCbfOyvgccWAKNs6&#10;2dtOwOfH7qEE4gNaiYOzSsBVedg0tzc1VtJd7F7Nh9CRVGJ9hQJ0CGNFqW+1MuhXblQ2ed9uMhjS&#10;OXVUTnhJ5WagGWMFNdjb9EHjqLZatT+HsxHwtR13b/Go8X3O5etLxvfXqY1C3N/F5ycgQcXwF4YF&#10;P6FDk5hO7mylJ4OAdcnSlpCMPC84kCXCMl4AOS1ayTnQpqb/ZzS/AAAA//8DAFBLAQItABQABgAI&#10;AAAAIQC2gziS/gAAAOEBAAATAAAAAAAAAAAAAAAAAAAAAABbQ29udGVudF9UeXBlc10ueG1sUEsB&#10;Ai0AFAAGAAgAAAAhADj9If/WAAAAlAEAAAsAAAAAAAAAAAAAAAAALwEAAF9yZWxzLy5yZWxzUEsB&#10;Ai0AFAAGAAgAAAAhAHExDSirAQAARQMAAA4AAAAAAAAAAAAAAAAALgIAAGRycy9lMm9Eb2MueG1s&#10;UEsBAi0AFAAGAAgAAAAhAP0ACiDiAAAADgEAAA8AAAAAAAAAAAAAAAAABQQAAGRycy9kb3ducmV2&#10;LnhtbFBLBQYAAAAABAAEAPMAAAAUBQAAAAA=&#10;" filled="f" stroked="f">
              <v:path arrowok="t"/>
              <v:textbox inset="0,0,0,0">
                <w:txbxContent>
                  <w:p w14:paraId="5688FC06" w14:textId="77777777" w:rsidR="006C2D77" w:rsidRDefault="00281E15">
                    <w:pPr>
                      <w:pStyle w:val="BodyText"/>
                      <w:spacing w:before="2"/>
                      <w:ind w:left="60"/>
                      <w:jc w:val="left"/>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sidR="00267153">
                      <w:rPr>
                        <w:rFonts w:ascii="Times New Roman"/>
                        <w:noProof/>
                        <w:spacing w:val="-5"/>
                      </w:rPr>
                      <w:t>303</w:t>
                    </w:r>
                    <w:r>
                      <w:rPr>
                        <w:rFonts w:ascii="Times New Roman"/>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0243787"/>
      <w:docPartObj>
        <w:docPartGallery w:val="Page Numbers (Bottom of Page)"/>
        <w:docPartUnique/>
      </w:docPartObj>
    </w:sdtPr>
    <w:sdtEndPr>
      <w:rPr>
        <w:noProof/>
      </w:rPr>
    </w:sdtEndPr>
    <w:sdtContent>
      <w:p w14:paraId="761C1C8D" w14:textId="1EE04BED" w:rsidR="00404778" w:rsidRDefault="00404778">
        <w:pPr>
          <w:pStyle w:val="Footer"/>
          <w:jc w:val="center"/>
        </w:pPr>
        <w:r>
          <w:fldChar w:fldCharType="begin"/>
        </w:r>
        <w:r>
          <w:instrText xml:space="preserve"> PAGE   \* MERGEFORMAT </w:instrText>
        </w:r>
        <w:r>
          <w:fldChar w:fldCharType="separate"/>
        </w:r>
        <w:r w:rsidR="00267153">
          <w:rPr>
            <w:noProof/>
          </w:rPr>
          <w:t>302</w:t>
        </w:r>
        <w:r>
          <w:rPr>
            <w:noProof/>
          </w:rPr>
          <w:fldChar w:fldCharType="end"/>
        </w:r>
      </w:p>
    </w:sdtContent>
  </w:sdt>
  <w:p w14:paraId="4B95D0F6" w14:textId="77777777" w:rsidR="00404778" w:rsidRDefault="004047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5DC3DF" w14:textId="77777777" w:rsidR="00504D91" w:rsidRDefault="00504D91">
      <w:r>
        <w:separator/>
      </w:r>
    </w:p>
  </w:footnote>
  <w:footnote w:type="continuationSeparator" w:id="0">
    <w:p w14:paraId="036EC979" w14:textId="77777777" w:rsidR="00504D91" w:rsidRDefault="00504D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541BDB"/>
    <w:multiLevelType w:val="hybridMultilevel"/>
    <w:tmpl w:val="B40238D2"/>
    <w:lvl w:ilvl="0" w:tplc="43AC7CE4">
      <w:start w:val="1"/>
      <w:numFmt w:val="lowerLetter"/>
      <w:lvlText w:val="%1."/>
      <w:lvlJc w:val="left"/>
      <w:pPr>
        <w:ind w:left="722" w:hanging="360"/>
        <w:jc w:val="left"/>
      </w:pPr>
      <w:rPr>
        <w:rFonts w:ascii="Cambria" w:eastAsia="Cambria" w:hAnsi="Cambria" w:cs="Cambria" w:hint="default"/>
        <w:b w:val="0"/>
        <w:bCs w:val="0"/>
        <w:i w:val="0"/>
        <w:iCs w:val="0"/>
        <w:spacing w:val="0"/>
        <w:w w:val="108"/>
        <w:sz w:val="24"/>
        <w:szCs w:val="24"/>
        <w:lang w:val="en-US" w:eastAsia="en-US" w:bidi="ar-SA"/>
      </w:rPr>
    </w:lvl>
    <w:lvl w:ilvl="1" w:tplc="A4A61596">
      <w:numFmt w:val="bullet"/>
      <w:lvlText w:val="•"/>
      <w:lvlJc w:val="left"/>
      <w:pPr>
        <w:ind w:left="1512" w:hanging="360"/>
      </w:pPr>
      <w:rPr>
        <w:rFonts w:hint="default"/>
        <w:lang w:val="en-US" w:eastAsia="en-US" w:bidi="ar-SA"/>
      </w:rPr>
    </w:lvl>
    <w:lvl w:ilvl="2" w:tplc="96E0A554">
      <w:numFmt w:val="bullet"/>
      <w:lvlText w:val="•"/>
      <w:lvlJc w:val="left"/>
      <w:pPr>
        <w:ind w:left="2305" w:hanging="360"/>
      </w:pPr>
      <w:rPr>
        <w:rFonts w:hint="default"/>
        <w:lang w:val="en-US" w:eastAsia="en-US" w:bidi="ar-SA"/>
      </w:rPr>
    </w:lvl>
    <w:lvl w:ilvl="3" w:tplc="36D60E14">
      <w:numFmt w:val="bullet"/>
      <w:lvlText w:val="•"/>
      <w:lvlJc w:val="left"/>
      <w:pPr>
        <w:ind w:left="3098" w:hanging="360"/>
      </w:pPr>
      <w:rPr>
        <w:rFonts w:hint="default"/>
        <w:lang w:val="en-US" w:eastAsia="en-US" w:bidi="ar-SA"/>
      </w:rPr>
    </w:lvl>
    <w:lvl w:ilvl="4" w:tplc="57FA9AA4">
      <w:numFmt w:val="bullet"/>
      <w:lvlText w:val="•"/>
      <w:lvlJc w:val="left"/>
      <w:pPr>
        <w:ind w:left="3891" w:hanging="360"/>
      </w:pPr>
      <w:rPr>
        <w:rFonts w:hint="default"/>
        <w:lang w:val="en-US" w:eastAsia="en-US" w:bidi="ar-SA"/>
      </w:rPr>
    </w:lvl>
    <w:lvl w:ilvl="5" w:tplc="F4DEADA8">
      <w:numFmt w:val="bullet"/>
      <w:lvlText w:val="•"/>
      <w:lvlJc w:val="left"/>
      <w:pPr>
        <w:ind w:left="4684" w:hanging="360"/>
      </w:pPr>
      <w:rPr>
        <w:rFonts w:hint="default"/>
        <w:lang w:val="en-US" w:eastAsia="en-US" w:bidi="ar-SA"/>
      </w:rPr>
    </w:lvl>
    <w:lvl w:ilvl="6" w:tplc="B7D279EA">
      <w:numFmt w:val="bullet"/>
      <w:lvlText w:val="•"/>
      <w:lvlJc w:val="left"/>
      <w:pPr>
        <w:ind w:left="5477" w:hanging="360"/>
      </w:pPr>
      <w:rPr>
        <w:rFonts w:hint="default"/>
        <w:lang w:val="en-US" w:eastAsia="en-US" w:bidi="ar-SA"/>
      </w:rPr>
    </w:lvl>
    <w:lvl w:ilvl="7" w:tplc="7CD20326">
      <w:numFmt w:val="bullet"/>
      <w:lvlText w:val="•"/>
      <w:lvlJc w:val="left"/>
      <w:pPr>
        <w:ind w:left="6270" w:hanging="360"/>
      </w:pPr>
      <w:rPr>
        <w:rFonts w:hint="default"/>
        <w:lang w:val="en-US" w:eastAsia="en-US" w:bidi="ar-SA"/>
      </w:rPr>
    </w:lvl>
    <w:lvl w:ilvl="8" w:tplc="1674AA78">
      <w:numFmt w:val="bullet"/>
      <w:lvlText w:val="•"/>
      <w:lvlJc w:val="left"/>
      <w:pPr>
        <w:ind w:left="7063" w:hanging="360"/>
      </w:pPr>
      <w:rPr>
        <w:rFonts w:hint="default"/>
        <w:lang w:val="en-US" w:eastAsia="en-US" w:bidi="ar-SA"/>
      </w:rPr>
    </w:lvl>
  </w:abstractNum>
  <w:abstractNum w:abstractNumId="1">
    <w:nsid w:val="791F7AEE"/>
    <w:multiLevelType w:val="hybridMultilevel"/>
    <w:tmpl w:val="B804E9D4"/>
    <w:lvl w:ilvl="0" w:tplc="68781EE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D77"/>
    <w:rsid w:val="000770F7"/>
    <w:rsid w:val="00266392"/>
    <w:rsid w:val="00267153"/>
    <w:rsid w:val="0027251C"/>
    <w:rsid w:val="00281E15"/>
    <w:rsid w:val="00404778"/>
    <w:rsid w:val="0043106F"/>
    <w:rsid w:val="00445C04"/>
    <w:rsid w:val="004641A9"/>
    <w:rsid w:val="004E0153"/>
    <w:rsid w:val="00504D91"/>
    <w:rsid w:val="00553DFD"/>
    <w:rsid w:val="00591B80"/>
    <w:rsid w:val="006C2D77"/>
    <w:rsid w:val="006C5C58"/>
    <w:rsid w:val="006D22E3"/>
    <w:rsid w:val="007178FE"/>
    <w:rsid w:val="008A5ADD"/>
    <w:rsid w:val="00924408"/>
    <w:rsid w:val="0094709E"/>
    <w:rsid w:val="00A025E5"/>
    <w:rsid w:val="00A33976"/>
    <w:rsid w:val="00B56EB0"/>
    <w:rsid w:val="00CC5F25"/>
    <w:rsid w:val="00D31BF4"/>
    <w:rsid w:val="00DC0221"/>
    <w:rsid w:val="00E81412"/>
    <w:rsid w:val="00EA688E"/>
    <w:rsid w:val="00F943A6"/>
    <w:rsid w:val="00F96B38"/>
    <w:rsid w:val="00FB448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6C1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spacing w:before="256" w:line="321" w:lineRule="exact"/>
      <w:ind w:left="2"/>
      <w:outlineLvl w:val="0"/>
    </w:pPr>
    <w:rPr>
      <w:rFonts w:ascii="Palatino Linotype" w:eastAsia="Palatino Linotype" w:hAnsi="Palatino Linotype" w:cs="Palatino Linotype"/>
      <w:b/>
      <w:bCs/>
      <w:sz w:val="24"/>
      <w:szCs w:val="24"/>
    </w:rPr>
  </w:style>
  <w:style w:type="paragraph" w:styleId="Heading2">
    <w:name w:val="heading 2"/>
    <w:basedOn w:val="Normal"/>
    <w:uiPriority w:val="9"/>
    <w:unhideWhenUsed/>
    <w:qFormat/>
    <w:pPr>
      <w:spacing w:line="321" w:lineRule="exact"/>
      <w:ind w:left="2"/>
      <w:outlineLvl w:val="1"/>
    </w:pPr>
    <w:rPr>
      <w:rFonts w:ascii="Palatino Linotype" w:eastAsia="Palatino Linotype" w:hAnsi="Palatino Linotype" w:cs="Palatino Linotyp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
      <w:jc w:val="both"/>
    </w:pPr>
    <w:rPr>
      <w:sz w:val="24"/>
      <w:szCs w:val="24"/>
    </w:rPr>
  </w:style>
  <w:style w:type="paragraph" w:styleId="Title">
    <w:name w:val="Title"/>
    <w:basedOn w:val="Normal"/>
    <w:uiPriority w:val="10"/>
    <w:qFormat/>
    <w:pPr>
      <w:spacing w:before="1"/>
      <w:ind w:left="315" w:right="458"/>
      <w:jc w:val="center"/>
    </w:pPr>
    <w:rPr>
      <w:rFonts w:ascii="Palatino Linotype" w:eastAsia="Palatino Linotype" w:hAnsi="Palatino Linotype" w:cs="Palatino Linotype"/>
      <w:b/>
      <w:bCs/>
      <w:sz w:val="28"/>
      <w:szCs w:val="28"/>
    </w:rPr>
  </w:style>
  <w:style w:type="paragraph" w:styleId="ListParagraph">
    <w:name w:val="List Paragraph"/>
    <w:aliases w:val="Body of text"/>
    <w:basedOn w:val="Normal"/>
    <w:link w:val="ListParagraphChar"/>
    <w:uiPriority w:val="34"/>
    <w:qFormat/>
    <w:pPr>
      <w:ind w:left="722" w:right="142" w:hanging="360"/>
      <w:jc w:val="both"/>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rsid w:val="00A025E5"/>
    <w:rPr>
      <w:rFonts w:cs="Times New Roman"/>
      <w:color w:val="auto"/>
      <w:sz w:val="16"/>
      <w:u w:val="none"/>
    </w:rPr>
  </w:style>
  <w:style w:type="paragraph" w:customStyle="1" w:styleId="Els-Title">
    <w:name w:val="Els-Title"/>
    <w:next w:val="Normal"/>
    <w:autoRedefine/>
    <w:rsid w:val="00A025E5"/>
    <w:pPr>
      <w:widowControl/>
      <w:suppressAutoHyphens/>
      <w:autoSpaceDE/>
      <w:autoSpaceDN/>
      <w:jc w:val="center"/>
    </w:pPr>
    <w:rPr>
      <w:rFonts w:ascii="Book Antiqua" w:eastAsia="SimSun" w:hAnsi="Book Antiqua" w:cs="Times New Roman"/>
      <w:b/>
      <w:sz w:val="30"/>
      <w:szCs w:val="18"/>
    </w:rPr>
  </w:style>
  <w:style w:type="paragraph" w:styleId="NormalWeb">
    <w:name w:val="Normal (Web)"/>
    <w:basedOn w:val="Normal"/>
    <w:uiPriority w:val="99"/>
    <w:semiHidden/>
    <w:unhideWhenUsed/>
    <w:rsid w:val="00A025E5"/>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MDPI42tablebody">
    <w:name w:val="MDPI_4.2_table_body"/>
    <w:qFormat/>
    <w:rsid w:val="007178FE"/>
    <w:pPr>
      <w:widowControl/>
      <w:autoSpaceDE/>
      <w:autoSpaceDN/>
      <w:adjustRightInd w:val="0"/>
      <w:snapToGrid w:val="0"/>
      <w:spacing w:line="260" w:lineRule="atLeast"/>
      <w:jc w:val="center"/>
    </w:pPr>
    <w:rPr>
      <w:rFonts w:ascii="Palatino Linotype" w:eastAsia="Times New Roman" w:hAnsi="Palatino Linotype" w:cs="Times New Roman"/>
      <w:snapToGrid w:val="0"/>
      <w:color w:val="000000"/>
      <w:sz w:val="20"/>
      <w:szCs w:val="20"/>
      <w:lang w:eastAsia="de-DE" w:bidi="en-US"/>
    </w:rPr>
  </w:style>
  <w:style w:type="character" w:customStyle="1" w:styleId="ListParagraphChar">
    <w:name w:val="List Paragraph Char"/>
    <w:aliases w:val="Body of text Char"/>
    <w:link w:val="ListParagraph"/>
    <w:uiPriority w:val="34"/>
    <w:locked/>
    <w:rsid w:val="007178FE"/>
    <w:rPr>
      <w:rFonts w:ascii="Cambria" w:eastAsia="Cambria" w:hAnsi="Cambria" w:cs="Cambria"/>
    </w:rPr>
  </w:style>
  <w:style w:type="paragraph" w:styleId="Header">
    <w:name w:val="header"/>
    <w:basedOn w:val="Normal"/>
    <w:link w:val="HeaderChar"/>
    <w:uiPriority w:val="99"/>
    <w:unhideWhenUsed/>
    <w:rsid w:val="007178FE"/>
    <w:pPr>
      <w:tabs>
        <w:tab w:val="center" w:pos="4513"/>
        <w:tab w:val="right" w:pos="9026"/>
      </w:tabs>
    </w:pPr>
  </w:style>
  <w:style w:type="character" w:customStyle="1" w:styleId="HeaderChar">
    <w:name w:val="Header Char"/>
    <w:basedOn w:val="DefaultParagraphFont"/>
    <w:link w:val="Header"/>
    <w:uiPriority w:val="99"/>
    <w:rsid w:val="007178FE"/>
    <w:rPr>
      <w:rFonts w:ascii="Cambria" w:eastAsia="Cambria" w:hAnsi="Cambria" w:cs="Cambria"/>
    </w:rPr>
  </w:style>
  <w:style w:type="paragraph" w:styleId="Footer">
    <w:name w:val="footer"/>
    <w:basedOn w:val="Normal"/>
    <w:link w:val="FooterChar"/>
    <w:uiPriority w:val="99"/>
    <w:unhideWhenUsed/>
    <w:rsid w:val="007178FE"/>
    <w:pPr>
      <w:tabs>
        <w:tab w:val="center" w:pos="4513"/>
        <w:tab w:val="right" w:pos="9026"/>
      </w:tabs>
    </w:pPr>
  </w:style>
  <w:style w:type="character" w:customStyle="1" w:styleId="FooterChar">
    <w:name w:val="Footer Char"/>
    <w:basedOn w:val="DefaultParagraphFont"/>
    <w:link w:val="Footer"/>
    <w:uiPriority w:val="99"/>
    <w:rsid w:val="007178FE"/>
    <w:rPr>
      <w:rFonts w:ascii="Cambria" w:eastAsia="Cambria" w:hAnsi="Cambria" w:cs="Cambria"/>
    </w:rPr>
  </w:style>
  <w:style w:type="character" w:customStyle="1" w:styleId="UnresolvedMention">
    <w:name w:val="Unresolved Mention"/>
    <w:basedOn w:val="DefaultParagraphFont"/>
    <w:uiPriority w:val="99"/>
    <w:semiHidden/>
    <w:unhideWhenUsed/>
    <w:rsid w:val="00E81412"/>
    <w:rPr>
      <w:color w:val="605E5C"/>
      <w:shd w:val="clear" w:color="auto" w:fill="E1DFDD"/>
    </w:rPr>
  </w:style>
  <w:style w:type="character" w:styleId="FootnoteReference">
    <w:name w:val="footnote reference"/>
    <w:basedOn w:val="DefaultParagraphFont"/>
    <w:uiPriority w:val="99"/>
    <w:semiHidden/>
    <w:unhideWhenUsed/>
    <w:rsid w:val="00F943A6"/>
    <w:rPr>
      <w:vertAlign w:val="superscript"/>
    </w:rPr>
  </w:style>
  <w:style w:type="table" w:styleId="TableGrid">
    <w:name w:val="Table Grid"/>
    <w:basedOn w:val="TableNormal"/>
    <w:uiPriority w:val="59"/>
    <w:rsid w:val="00F943A6"/>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C5F25"/>
    <w:rPr>
      <w:rFonts w:ascii="Tahoma" w:hAnsi="Tahoma" w:cs="Tahoma"/>
      <w:sz w:val="16"/>
      <w:szCs w:val="16"/>
    </w:rPr>
  </w:style>
  <w:style w:type="character" w:customStyle="1" w:styleId="BalloonTextChar">
    <w:name w:val="Balloon Text Char"/>
    <w:basedOn w:val="DefaultParagraphFont"/>
    <w:link w:val="BalloonText"/>
    <w:uiPriority w:val="99"/>
    <w:semiHidden/>
    <w:rsid w:val="00CC5F25"/>
    <w:rPr>
      <w:rFonts w:ascii="Tahoma" w:eastAsia="Cambr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spacing w:before="256" w:line="321" w:lineRule="exact"/>
      <w:ind w:left="2"/>
      <w:outlineLvl w:val="0"/>
    </w:pPr>
    <w:rPr>
      <w:rFonts w:ascii="Palatino Linotype" w:eastAsia="Palatino Linotype" w:hAnsi="Palatino Linotype" w:cs="Palatino Linotype"/>
      <w:b/>
      <w:bCs/>
      <w:sz w:val="24"/>
      <w:szCs w:val="24"/>
    </w:rPr>
  </w:style>
  <w:style w:type="paragraph" w:styleId="Heading2">
    <w:name w:val="heading 2"/>
    <w:basedOn w:val="Normal"/>
    <w:uiPriority w:val="9"/>
    <w:unhideWhenUsed/>
    <w:qFormat/>
    <w:pPr>
      <w:spacing w:line="321" w:lineRule="exact"/>
      <w:ind w:left="2"/>
      <w:outlineLvl w:val="1"/>
    </w:pPr>
    <w:rPr>
      <w:rFonts w:ascii="Palatino Linotype" w:eastAsia="Palatino Linotype" w:hAnsi="Palatino Linotype" w:cs="Palatino Linotyp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
      <w:jc w:val="both"/>
    </w:pPr>
    <w:rPr>
      <w:sz w:val="24"/>
      <w:szCs w:val="24"/>
    </w:rPr>
  </w:style>
  <w:style w:type="paragraph" w:styleId="Title">
    <w:name w:val="Title"/>
    <w:basedOn w:val="Normal"/>
    <w:uiPriority w:val="10"/>
    <w:qFormat/>
    <w:pPr>
      <w:spacing w:before="1"/>
      <w:ind w:left="315" w:right="458"/>
      <w:jc w:val="center"/>
    </w:pPr>
    <w:rPr>
      <w:rFonts w:ascii="Palatino Linotype" w:eastAsia="Palatino Linotype" w:hAnsi="Palatino Linotype" w:cs="Palatino Linotype"/>
      <w:b/>
      <w:bCs/>
      <w:sz w:val="28"/>
      <w:szCs w:val="28"/>
    </w:rPr>
  </w:style>
  <w:style w:type="paragraph" w:styleId="ListParagraph">
    <w:name w:val="List Paragraph"/>
    <w:aliases w:val="Body of text"/>
    <w:basedOn w:val="Normal"/>
    <w:link w:val="ListParagraphChar"/>
    <w:uiPriority w:val="34"/>
    <w:qFormat/>
    <w:pPr>
      <w:ind w:left="722" w:right="142" w:hanging="360"/>
      <w:jc w:val="both"/>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rsid w:val="00A025E5"/>
    <w:rPr>
      <w:rFonts w:cs="Times New Roman"/>
      <w:color w:val="auto"/>
      <w:sz w:val="16"/>
      <w:u w:val="none"/>
    </w:rPr>
  </w:style>
  <w:style w:type="paragraph" w:customStyle="1" w:styleId="Els-Title">
    <w:name w:val="Els-Title"/>
    <w:next w:val="Normal"/>
    <w:autoRedefine/>
    <w:rsid w:val="00A025E5"/>
    <w:pPr>
      <w:widowControl/>
      <w:suppressAutoHyphens/>
      <w:autoSpaceDE/>
      <w:autoSpaceDN/>
      <w:jc w:val="center"/>
    </w:pPr>
    <w:rPr>
      <w:rFonts w:ascii="Book Antiqua" w:eastAsia="SimSun" w:hAnsi="Book Antiqua" w:cs="Times New Roman"/>
      <w:b/>
      <w:sz w:val="30"/>
      <w:szCs w:val="18"/>
    </w:rPr>
  </w:style>
  <w:style w:type="paragraph" w:styleId="NormalWeb">
    <w:name w:val="Normal (Web)"/>
    <w:basedOn w:val="Normal"/>
    <w:uiPriority w:val="99"/>
    <w:semiHidden/>
    <w:unhideWhenUsed/>
    <w:rsid w:val="00A025E5"/>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MDPI42tablebody">
    <w:name w:val="MDPI_4.2_table_body"/>
    <w:qFormat/>
    <w:rsid w:val="007178FE"/>
    <w:pPr>
      <w:widowControl/>
      <w:autoSpaceDE/>
      <w:autoSpaceDN/>
      <w:adjustRightInd w:val="0"/>
      <w:snapToGrid w:val="0"/>
      <w:spacing w:line="260" w:lineRule="atLeast"/>
      <w:jc w:val="center"/>
    </w:pPr>
    <w:rPr>
      <w:rFonts w:ascii="Palatino Linotype" w:eastAsia="Times New Roman" w:hAnsi="Palatino Linotype" w:cs="Times New Roman"/>
      <w:snapToGrid w:val="0"/>
      <w:color w:val="000000"/>
      <w:sz w:val="20"/>
      <w:szCs w:val="20"/>
      <w:lang w:eastAsia="de-DE" w:bidi="en-US"/>
    </w:rPr>
  </w:style>
  <w:style w:type="character" w:customStyle="1" w:styleId="ListParagraphChar">
    <w:name w:val="List Paragraph Char"/>
    <w:aliases w:val="Body of text Char"/>
    <w:link w:val="ListParagraph"/>
    <w:uiPriority w:val="34"/>
    <w:locked/>
    <w:rsid w:val="007178FE"/>
    <w:rPr>
      <w:rFonts w:ascii="Cambria" w:eastAsia="Cambria" w:hAnsi="Cambria" w:cs="Cambria"/>
    </w:rPr>
  </w:style>
  <w:style w:type="paragraph" w:styleId="Header">
    <w:name w:val="header"/>
    <w:basedOn w:val="Normal"/>
    <w:link w:val="HeaderChar"/>
    <w:uiPriority w:val="99"/>
    <w:unhideWhenUsed/>
    <w:rsid w:val="007178FE"/>
    <w:pPr>
      <w:tabs>
        <w:tab w:val="center" w:pos="4513"/>
        <w:tab w:val="right" w:pos="9026"/>
      </w:tabs>
    </w:pPr>
  </w:style>
  <w:style w:type="character" w:customStyle="1" w:styleId="HeaderChar">
    <w:name w:val="Header Char"/>
    <w:basedOn w:val="DefaultParagraphFont"/>
    <w:link w:val="Header"/>
    <w:uiPriority w:val="99"/>
    <w:rsid w:val="007178FE"/>
    <w:rPr>
      <w:rFonts w:ascii="Cambria" w:eastAsia="Cambria" w:hAnsi="Cambria" w:cs="Cambria"/>
    </w:rPr>
  </w:style>
  <w:style w:type="paragraph" w:styleId="Footer">
    <w:name w:val="footer"/>
    <w:basedOn w:val="Normal"/>
    <w:link w:val="FooterChar"/>
    <w:uiPriority w:val="99"/>
    <w:unhideWhenUsed/>
    <w:rsid w:val="007178FE"/>
    <w:pPr>
      <w:tabs>
        <w:tab w:val="center" w:pos="4513"/>
        <w:tab w:val="right" w:pos="9026"/>
      </w:tabs>
    </w:pPr>
  </w:style>
  <w:style w:type="character" w:customStyle="1" w:styleId="FooterChar">
    <w:name w:val="Footer Char"/>
    <w:basedOn w:val="DefaultParagraphFont"/>
    <w:link w:val="Footer"/>
    <w:uiPriority w:val="99"/>
    <w:rsid w:val="007178FE"/>
    <w:rPr>
      <w:rFonts w:ascii="Cambria" w:eastAsia="Cambria" w:hAnsi="Cambria" w:cs="Cambria"/>
    </w:rPr>
  </w:style>
  <w:style w:type="character" w:customStyle="1" w:styleId="UnresolvedMention">
    <w:name w:val="Unresolved Mention"/>
    <w:basedOn w:val="DefaultParagraphFont"/>
    <w:uiPriority w:val="99"/>
    <w:semiHidden/>
    <w:unhideWhenUsed/>
    <w:rsid w:val="00E81412"/>
    <w:rPr>
      <w:color w:val="605E5C"/>
      <w:shd w:val="clear" w:color="auto" w:fill="E1DFDD"/>
    </w:rPr>
  </w:style>
  <w:style w:type="character" w:styleId="FootnoteReference">
    <w:name w:val="footnote reference"/>
    <w:basedOn w:val="DefaultParagraphFont"/>
    <w:uiPriority w:val="99"/>
    <w:semiHidden/>
    <w:unhideWhenUsed/>
    <w:rsid w:val="00F943A6"/>
    <w:rPr>
      <w:vertAlign w:val="superscript"/>
    </w:rPr>
  </w:style>
  <w:style w:type="table" w:styleId="TableGrid">
    <w:name w:val="Table Grid"/>
    <w:basedOn w:val="TableNormal"/>
    <w:uiPriority w:val="59"/>
    <w:rsid w:val="00F943A6"/>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C5F25"/>
    <w:rPr>
      <w:rFonts w:ascii="Tahoma" w:hAnsi="Tahoma" w:cs="Tahoma"/>
      <w:sz w:val="16"/>
      <w:szCs w:val="16"/>
    </w:rPr>
  </w:style>
  <w:style w:type="character" w:customStyle="1" w:styleId="BalloonTextChar">
    <w:name w:val="Balloon Text Char"/>
    <w:basedOn w:val="DefaultParagraphFont"/>
    <w:link w:val="BalloonText"/>
    <w:uiPriority w:val="99"/>
    <w:semiHidden/>
    <w:rsid w:val="00CC5F25"/>
    <w:rPr>
      <w:rFonts w:ascii="Tahoma" w:eastAsia="Cambr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nurazizahku0704@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hofiaobphy14@gmail.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ekaavidyawati@gmail.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DE2A9-28C5-4E6C-B7C9-E64E458B8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Pages>
  <Words>9012</Words>
  <Characters>51372</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PC12</dc:creator>
  <cp:lastModifiedBy>editor</cp:lastModifiedBy>
  <cp:revision>9</cp:revision>
  <dcterms:created xsi:type="dcterms:W3CDTF">2026-07-14T05:22:00Z</dcterms:created>
  <dcterms:modified xsi:type="dcterms:W3CDTF">2026-08-30T08:10:00Z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2025-07-10T00:00:00Z</vt:filetime>
  </property>
  <property fmtid="{D5CDD505-2E9C-101B-9397-08002B2CF9AE}" pid="3" name="Creator">
    <vt:lpwstr>Microsoft® Word 2019</vt:lpwstr>
  </property>
  <property fmtid="{D5CDD505-2E9C-101B-9397-08002B2CF9AE}" pid="4" name="LastSaved">
    <vt:filetime>2026-05-16T00:00:00Z</vt:filetime>
  </property>
  <property fmtid="{D5CDD505-2E9C-101B-9397-08002B2CF9AE}" pid="5" name="Producer">
    <vt:lpwstr>Microsoft® Word 2019</vt:lpwstr>
  </property>
  <property fmtid="{D5CDD505-2E9C-101B-9397-08002B2CF9AE}" pid="6" name="Mendeley Document_1">
    <vt:lpwstr>True</vt:lpwstr>
  </property>
  <property fmtid="{D5CDD505-2E9C-101B-9397-08002B2CF9AE}" pid="7" name="Mendeley Unique User Id_1">
    <vt:lpwstr>ae747107-32aa-37b3-9ae4-1d946b643319</vt:lpwstr>
  </property>
  <property fmtid="{D5CDD505-2E9C-101B-9397-08002B2CF9AE}" pid="8" name="Mendeley Citation Style_1">
    <vt:lpwstr>http://www.zotero.org/styles/apa</vt:lpwstr>
  </property>
</Properties>
</file>